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Bdr>
          <w:bottom w:val="none" w:color="auto" w:sz="0" w:space="0"/>
        </w:pBdr>
        <w:spacing w:line="360" w:lineRule="auto"/>
        <w:jc w:val="right"/>
        <w:rPr>
          <w:rFonts w:ascii="仿宋" w:hAnsi="仿宋" w:eastAsia="仿宋" w:cs="仿宋"/>
          <w:b/>
          <w:sz w:val="21"/>
          <w:szCs w:val="21"/>
        </w:rPr>
      </w:pPr>
    </w:p>
    <w:p>
      <w:pPr>
        <w:pStyle w:val="27"/>
        <w:pBdr>
          <w:bottom w:val="none" w:color="auto" w:sz="0" w:space="0"/>
        </w:pBdr>
        <w:spacing w:line="360" w:lineRule="auto"/>
        <w:rPr>
          <w:rFonts w:ascii="仿宋" w:hAnsi="仿宋" w:eastAsia="仿宋" w:cs="仿宋"/>
          <w:b/>
          <w:sz w:val="21"/>
          <w:szCs w:val="21"/>
        </w:rPr>
      </w:pPr>
    </w:p>
    <w:p>
      <w:pPr>
        <w:pStyle w:val="27"/>
        <w:pBdr>
          <w:bottom w:val="none" w:color="auto" w:sz="0" w:space="0"/>
        </w:pBdr>
        <w:spacing w:line="360" w:lineRule="auto"/>
        <w:rPr>
          <w:rFonts w:ascii="仿宋" w:hAnsi="仿宋" w:eastAsia="仿宋" w:cs="仿宋"/>
          <w:b/>
          <w:sz w:val="21"/>
          <w:szCs w:val="21"/>
        </w:rPr>
      </w:pPr>
    </w:p>
    <w:p>
      <w:pPr>
        <w:pStyle w:val="27"/>
        <w:pBdr>
          <w:bottom w:val="none" w:color="auto" w:sz="0" w:space="0"/>
        </w:pBdr>
        <w:spacing w:line="360" w:lineRule="auto"/>
        <w:rPr>
          <w:rFonts w:ascii="仿宋" w:hAnsi="仿宋" w:eastAsia="仿宋" w:cs="仿宋"/>
          <w:b/>
          <w:sz w:val="21"/>
          <w:szCs w:val="21"/>
        </w:rPr>
      </w:pPr>
    </w:p>
    <w:p>
      <w:pPr>
        <w:pStyle w:val="27"/>
        <w:pBdr>
          <w:bottom w:val="none" w:color="auto" w:sz="0" w:space="0"/>
        </w:pBdr>
        <w:spacing w:line="360" w:lineRule="auto"/>
        <w:jc w:val="both"/>
        <w:rPr>
          <w:rFonts w:ascii="仿宋" w:hAnsi="仿宋" w:eastAsia="仿宋" w:cs="仿宋"/>
          <w:b/>
          <w:sz w:val="21"/>
          <w:szCs w:val="21"/>
        </w:rPr>
      </w:pPr>
    </w:p>
    <w:p>
      <w:pPr>
        <w:pStyle w:val="27"/>
        <w:pBdr>
          <w:bottom w:val="none" w:color="auto" w:sz="0" w:space="0"/>
        </w:pBdr>
        <w:spacing w:line="360" w:lineRule="auto"/>
        <w:jc w:val="both"/>
        <w:rPr>
          <w:rFonts w:ascii="仿宋" w:hAnsi="仿宋" w:eastAsia="仿宋" w:cs="仿宋"/>
          <w:b/>
          <w:sz w:val="21"/>
          <w:szCs w:val="21"/>
        </w:rPr>
      </w:pPr>
    </w:p>
    <w:p>
      <w:pPr>
        <w:pStyle w:val="27"/>
        <w:pBdr>
          <w:bottom w:val="none" w:color="auto" w:sz="0" w:space="0"/>
        </w:pBdr>
        <w:spacing w:line="360" w:lineRule="auto"/>
        <w:rPr>
          <w:rFonts w:ascii="仿宋" w:hAnsi="仿宋" w:eastAsia="仿宋" w:cs="仿宋"/>
          <w:b/>
          <w:sz w:val="21"/>
          <w:szCs w:val="21"/>
        </w:rPr>
      </w:pPr>
      <w:r>
        <w:rPr>
          <w:rFonts w:hint="eastAsia" w:ascii="仿宋" w:hAnsi="仿宋" w:eastAsia="仿宋" w:cs="仿宋"/>
          <w:b/>
          <w:sz w:val="36"/>
          <w:szCs w:val="36"/>
        </w:rPr>
        <w:t>谈判文件</w:t>
      </w:r>
    </w:p>
    <w:p>
      <w:pPr>
        <w:pStyle w:val="27"/>
        <w:pBdr>
          <w:bottom w:val="none" w:color="auto" w:sz="0" w:space="0"/>
        </w:pBdr>
        <w:spacing w:line="360" w:lineRule="auto"/>
        <w:rPr>
          <w:rFonts w:ascii="仿宋" w:hAnsi="仿宋" w:eastAsia="仿宋" w:cs="仿宋"/>
          <w:sz w:val="21"/>
          <w:szCs w:val="21"/>
        </w:rPr>
      </w:pPr>
    </w:p>
    <w:p>
      <w:pPr>
        <w:pStyle w:val="27"/>
        <w:pBdr>
          <w:bottom w:val="none" w:color="auto" w:sz="0" w:space="0"/>
        </w:pBdr>
        <w:spacing w:line="360" w:lineRule="auto"/>
        <w:rPr>
          <w:rFonts w:ascii="仿宋" w:hAnsi="仿宋" w:eastAsia="仿宋" w:cs="仿宋"/>
          <w:sz w:val="21"/>
          <w:szCs w:val="21"/>
        </w:rPr>
      </w:pPr>
    </w:p>
    <w:p>
      <w:pPr>
        <w:pStyle w:val="27"/>
        <w:pBdr>
          <w:bottom w:val="none" w:color="auto" w:sz="0" w:space="0"/>
        </w:pBdr>
        <w:spacing w:line="360" w:lineRule="auto"/>
        <w:rPr>
          <w:rFonts w:ascii="仿宋" w:hAnsi="仿宋" w:eastAsia="仿宋" w:cs="仿宋"/>
          <w:sz w:val="21"/>
          <w:szCs w:val="21"/>
        </w:rPr>
      </w:pPr>
    </w:p>
    <w:p>
      <w:pPr>
        <w:pStyle w:val="27"/>
        <w:pBdr>
          <w:bottom w:val="none" w:color="auto" w:sz="0" w:space="0"/>
        </w:pBdr>
        <w:spacing w:line="360" w:lineRule="auto"/>
        <w:rPr>
          <w:rFonts w:ascii="仿宋" w:hAnsi="仿宋" w:eastAsia="仿宋" w:cs="仿宋"/>
          <w:sz w:val="21"/>
          <w:szCs w:val="21"/>
        </w:rPr>
      </w:pPr>
    </w:p>
    <w:p>
      <w:pPr>
        <w:pStyle w:val="27"/>
        <w:pBdr>
          <w:bottom w:val="none" w:color="auto" w:sz="0" w:space="0"/>
        </w:pBdr>
        <w:spacing w:line="360" w:lineRule="auto"/>
        <w:rPr>
          <w:rFonts w:ascii="仿宋" w:hAnsi="仿宋" w:eastAsia="仿宋" w:cs="仿宋"/>
          <w:sz w:val="21"/>
          <w:szCs w:val="21"/>
        </w:rPr>
      </w:pPr>
    </w:p>
    <w:p>
      <w:pPr>
        <w:pStyle w:val="27"/>
        <w:pBdr>
          <w:bottom w:val="none" w:color="auto" w:sz="0" w:space="0"/>
        </w:pBdr>
        <w:spacing w:line="360" w:lineRule="auto"/>
        <w:rPr>
          <w:rFonts w:ascii="仿宋" w:hAnsi="仿宋" w:eastAsia="仿宋" w:cs="仿宋"/>
          <w:sz w:val="21"/>
          <w:szCs w:val="21"/>
        </w:rPr>
      </w:pPr>
    </w:p>
    <w:p>
      <w:pPr>
        <w:widowControl/>
        <w:spacing w:line="360" w:lineRule="auto"/>
        <w:ind w:left="1505" w:leftChars="405" w:hanging="655" w:hangingChars="234"/>
        <w:jc w:val="left"/>
        <w:rPr>
          <w:rFonts w:ascii="仿宋" w:hAnsi="仿宋" w:eastAsia="仿宋" w:cs="仿宋"/>
          <w:sz w:val="28"/>
          <w:szCs w:val="28"/>
        </w:rPr>
      </w:pPr>
      <w:r>
        <w:rPr>
          <w:rFonts w:hint="eastAsia" w:ascii="仿宋" w:hAnsi="仿宋" w:eastAsia="仿宋" w:cs="仿宋"/>
          <w:sz w:val="28"/>
          <w:szCs w:val="28"/>
        </w:rPr>
        <w:t>项目名称：天仪楼室内公共区域空间文化建设-关山月作品及《美国国家地理125周年》图片复制项目</w:t>
      </w:r>
    </w:p>
    <w:p>
      <w:pPr>
        <w:widowControl/>
        <w:spacing w:line="360" w:lineRule="auto"/>
        <w:ind w:left="1505" w:leftChars="405" w:hanging="655" w:hangingChars="234"/>
        <w:jc w:val="left"/>
        <w:rPr>
          <w:rFonts w:hint="eastAsia" w:ascii="仿宋" w:hAnsi="仿宋" w:eastAsia="仿宋" w:cs="仿宋"/>
          <w:sz w:val="28"/>
          <w:szCs w:val="28"/>
          <w:lang w:val="en-US" w:eastAsia="zh-CN"/>
        </w:rPr>
      </w:pPr>
      <w:r>
        <w:rPr>
          <w:rFonts w:hint="eastAsia" w:ascii="仿宋" w:hAnsi="仿宋" w:eastAsia="仿宋" w:cs="仿宋"/>
          <w:sz w:val="28"/>
          <w:szCs w:val="28"/>
        </w:rPr>
        <w:t>项目编号：CIDP-2018-</w:t>
      </w:r>
      <w:r>
        <w:rPr>
          <w:rFonts w:hint="eastAsia" w:ascii="仿宋" w:hAnsi="仿宋" w:eastAsia="仿宋" w:cs="仿宋"/>
          <w:sz w:val="28"/>
          <w:szCs w:val="28"/>
          <w:lang w:val="en-US" w:eastAsia="zh-CN"/>
        </w:rPr>
        <w:t>200</w:t>
      </w:r>
    </w:p>
    <w:p>
      <w:pPr>
        <w:pStyle w:val="27"/>
        <w:pBdr>
          <w:bottom w:val="none" w:color="auto" w:sz="0" w:space="0"/>
        </w:pBdr>
        <w:spacing w:line="360" w:lineRule="auto"/>
        <w:ind w:left="1505" w:leftChars="405" w:hanging="655" w:hangingChars="234"/>
        <w:jc w:val="both"/>
        <w:rPr>
          <w:rFonts w:ascii="仿宋" w:hAnsi="仿宋" w:eastAsia="仿宋" w:cs="仿宋"/>
          <w:sz w:val="28"/>
          <w:szCs w:val="28"/>
        </w:rPr>
      </w:pPr>
    </w:p>
    <w:p>
      <w:pPr>
        <w:pStyle w:val="27"/>
        <w:pBdr>
          <w:bottom w:val="none" w:color="auto" w:sz="0" w:space="0"/>
        </w:pBdr>
        <w:spacing w:line="360" w:lineRule="auto"/>
        <w:ind w:left="1505" w:leftChars="405" w:hanging="655" w:hangingChars="234"/>
        <w:jc w:val="both"/>
        <w:rPr>
          <w:rFonts w:ascii="仿宋" w:hAnsi="仿宋" w:eastAsia="仿宋" w:cs="仿宋"/>
          <w:sz w:val="28"/>
          <w:szCs w:val="28"/>
        </w:rPr>
      </w:pPr>
    </w:p>
    <w:p>
      <w:pPr>
        <w:pStyle w:val="27"/>
        <w:pBdr>
          <w:bottom w:val="none" w:color="auto" w:sz="0" w:space="0"/>
        </w:pBdr>
        <w:spacing w:line="360" w:lineRule="auto"/>
        <w:ind w:left="1505" w:leftChars="405" w:hanging="655" w:hangingChars="234"/>
        <w:jc w:val="left"/>
        <w:rPr>
          <w:rFonts w:ascii="仿宋" w:hAnsi="仿宋" w:eastAsia="仿宋" w:cs="仿宋"/>
          <w:sz w:val="28"/>
          <w:szCs w:val="28"/>
        </w:rPr>
      </w:pPr>
      <w:r>
        <w:rPr>
          <w:rFonts w:hint="eastAsia" w:ascii="仿宋" w:hAnsi="仿宋" w:eastAsia="仿宋" w:cs="仿宋"/>
          <w:sz w:val="28"/>
          <w:szCs w:val="28"/>
        </w:rPr>
        <w:t>采购人：防灾科技学院</w:t>
      </w:r>
    </w:p>
    <w:p>
      <w:pPr>
        <w:pStyle w:val="27"/>
        <w:pBdr>
          <w:bottom w:val="none" w:color="auto" w:sz="0" w:space="0"/>
        </w:pBdr>
        <w:spacing w:line="360" w:lineRule="auto"/>
        <w:jc w:val="both"/>
        <w:rPr>
          <w:rFonts w:ascii="仿宋" w:hAnsi="仿宋" w:eastAsia="仿宋" w:cs="仿宋"/>
          <w:sz w:val="28"/>
          <w:szCs w:val="28"/>
        </w:rPr>
      </w:pPr>
    </w:p>
    <w:p>
      <w:pPr>
        <w:pStyle w:val="27"/>
        <w:pBdr>
          <w:bottom w:val="none" w:color="auto" w:sz="0" w:space="0"/>
        </w:pBdr>
        <w:spacing w:line="360" w:lineRule="auto"/>
        <w:jc w:val="both"/>
        <w:rPr>
          <w:rFonts w:ascii="仿宋" w:hAnsi="仿宋" w:eastAsia="仿宋" w:cs="仿宋"/>
          <w:sz w:val="28"/>
          <w:szCs w:val="28"/>
        </w:rPr>
      </w:pPr>
    </w:p>
    <w:p>
      <w:pPr>
        <w:pStyle w:val="27"/>
        <w:pBdr>
          <w:bottom w:val="none" w:color="auto" w:sz="0" w:space="0"/>
        </w:pBdr>
        <w:spacing w:line="360" w:lineRule="auto"/>
        <w:jc w:val="both"/>
        <w:rPr>
          <w:rFonts w:ascii="仿宋" w:hAnsi="仿宋" w:eastAsia="仿宋" w:cs="仿宋"/>
          <w:sz w:val="28"/>
          <w:szCs w:val="28"/>
        </w:rPr>
      </w:pPr>
    </w:p>
    <w:p>
      <w:pPr>
        <w:pStyle w:val="27"/>
        <w:pBdr>
          <w:bottom w:val="none" w:color="auto" w:sz="0" w:space="0"/>
        </w:pBdr>
        <w:spacing w:line="360" w:lineRule="auto"/>
        <w:jc w:val="both"/>
        <w:rPr>
          <w:rFonts w:ascii="仿宋" w:hAnsi="仿宋" w:eastAsia="仿宋" w:cs="仿宋"/>
          <w:sz w:val="28"/>
          <w:szCs w:val="28"/>
        </w:rPr>
      </w:pPr>
    </w:p>
    <w:p>
      <w:pPr>
        <w:pStyle w:val="27"/>
        <w:pBdr>
          <w:bottom w:val="none" w:color="auto" w:sz="0" w:space="0"/>
        </w:pBdr>
        <w:spacing w:line="360" w:lineRule="auto"/>
        <w:rPr>
          <w:rFonts w:ascii="仿宋" w:hAnsi="仿宋" w:eastAsia="仿宋" w:cs="仿宋"/>
          <w:sz w:val="28"/>
          <w:szCs w:val="28"/>
        </w:rPr>
      </w:pPr>
    </w:p>
    <w:p>
      <w:pPr>
        <w:pStyle w:val="27"/>
        <w:pBdr>
          <w:bottom w:val="none" w:color="auto" w:sz="0" w:space="0"/>
        </w:pBdr>
        <w:spacing w:line="360" w:lineRule="auto"/>
        <w:rPr>
          <w:rFonts w:ascii="仿宋" w:hAnsi="仿宋" w:eastAsia="仿宋" w:cs="仿宋"/>
          <w:sz w:val="28"/>
          <w:szCs w:val="28"/>
        </w:rPr>
      </w:pPr>
      <w:r>
        <w:rPr>
          <w:rFonts w:hint="eastAsia" w:ascii="仿宋" w:hAnsi="仿宋" w:eastAsia="仿宋" w:cs="仿宋"/>
          <w:sz w:val="28"/>
          <w:szCs w:val="28"/>
        </w:rPr>
        <w:t>2018年11月</w:t>
      </w:r>
    </w:p>
    <w:p>
      <w:pPr>
        <w:pStyle w:val="27"/>
        <w:pBdr>
          <w:bottom w:val="none" w:color="auto" w:sz="0" w:space="0"/>
        </w:pBdr>
        <w:spacing w:line="360" w:lineRule="auto"/>
        <w:rPr>
          <w:rFonts w:ascii="仿宋" w:hAnsi="仿宋" w:eastAsia="仿宋" w:cs="仿宋"/>
          <w:sz w:val="28"/>
          <w:szCs w:val="28"/>
        </w:rPr>
      </w:pPr>
    </w:p>
    <w:p>
      <w:pPr>
        <w:pStyle w:val="27"/>
        <w:pBdr>
          <w:bottom w:val="none" w:color="auto" w:sz="0" w:space="0"/>
        </w:pBdr>
        <w:spacing w:line="360" w:lineRule="auto"/>
        <w:rPr>
          <w:rFonts w:ascii="仿宋" w:hAnsi="仿宋" w:eastAsia="仿宋" w:cs="仿宋"/>
          <w:sz w:val="28"/>
          <w:szCs w:val="28"/>
        </w:rPr>
      </w:pPr>
    </w:p>
    <w:p>
      <w:pPr>
        <w:pStyle w:val="27"/>
        <w:pBdr>
          <w:bottom w:val="none" w:color="auto" w:sz="0" w:space="0"/>
        </w:pBdr>
        <w:spacing w:line="360" w:lineRule="auto"/>
        <w:rPr>
          <w:rFonts w:ascii="仿宋" w:hAnsi="仿宋" w:eastAsia="仿宋" w:cs="仿宋"/>
          <w:sz w:val="28"/>
          <w:szCs w:val="28"/>
        </w:rPr>
      </w:pPr>
    </w:p>
    <w:p>
      <w:pPr>
        <w:pStyle w:val="2"/>
        <w:spacing w:before="0" w:after="0" w:line="360" w:lineRule="auto"/>
        <w:rPr>
          <w:rFonts w:ascii="仿宋" w:hAnsi="仿宋" w:eastAsia="仿宋" w:cs="仿宋"/>
          <w:sz w:val="21"/>
          <w:szCs w:val="21"/>
        </w:rPr>
      </w:pPr>
      <w:bookmarkStart w:id="0" w:name="_Toc470496182"/>
      <w:bookmarkStart w:id="1" w:name="_Toc511641657"/>
      <w:bookmarkStart w:id="2" w:name="_Toc380479084"/>
      <w:r>
        <w:rPr>
          <w:rFonts w:hint="eastAsia" w:ascii="仿宋" w:hAnsi="仿宋" w:eastAsia="仿宋" w:cs="仿宋"/>
          <w:sz w:val="21"/>
          <w:szCs w:val="21"/>
        </w:rPr>
        <w:t>第一章  采购邀请</w:t>
      </w:r>
      <w:bookmarkEnd w:id="0"/>
      <w:bookmarkEnd w:id="1"/>
      <w:bookmarkEnd w:id="2"/>
    </w:p>
    <w:p>
      <w:pPr>
        <w:pStyle w:val="27"/>
        <w:pBdr>
          <w:bottom w:val="none" w:color="auto" w:sz="0" w:space="0"/>
        </w:pBdr>
        <w:snapToGrid/>
        <w:spacing w:line="360" w:lineRule="auto"/>
        <w:jc w:val="both"/>
        <w:rPr>
          <w:rFonts w:ascii="仿宋" w:hAnsi="仿宋" w:eastAsia="仿宋" w:cs="仿宋"/>
          <w:sz w:val="21"/>
          <w:szCs w:val="21"/>
        </w:rPr>
      </w:pPr>
      <w:r>
        <w:rPr>
          <w:rFonts w:hint="eastAsia" w:ascii="仿宋" w:hAnsi="仿宋" w:eastAsia="仿宋" w:cs="仿宋"/>
          <w:sz w:val="21"/>
          <w:szCs w:val="21"/>
        </w:rPr>
        <w:t>项目信息：</w:t>
      </w:r>
    </w:p>
    <w:p>
      <w:pPr>
        <w:pStyle w:val="27"/>
        <w:pBdr>
          <w:bottom w:val="none" w:color="auto" w:sz="0" w:space="0"/>
        </w:pBdr>
        <w:snapToGrid/>
        <w:spacing w:line="360" w:lineRule="auto"/>
        <w:ind w:left="945"/>
        <w:jc w:val="both"/>
        <w:rPr>
          <w:rFonts w:ascii="仿宋" w:hAnsi="仿宋" w:eastAsia="仿宋" w:cs="仿宋"/>
          <w:sz w:val="21"/>
          <w:szCs w:val="21"/>
        </w:rPr>
      </w:pPr>
      <w:r>
        <w:rPr>
          <w:rFonts w:hint="eastAsia" w:ascii="仿宋" w:hAnsi="仿宋" w:eastAsia="仿宋" w:cs="仿宋"/>
          <w:sz w:val="21"/>
          <w:szCs w:val="21"/>
        </w:rPr>
        <w:t>项目名称：天仪楼室内公共区域空间文化建设-关山月作品及《美国国家地理125周年》图片复制项目</w:t>
      </w:r>
    </w:p>
    <w:p>
      <w:pPr>
        <w:pStyle w:val="27"/>
        <w:numPr>
          <w:ilvl w:val="0"/>
          <w:numId w:val="6"/>
        </w:numPr>
        <w:pBdr>
          <w:bottom w:val="none" w:color="auto" w:sz="0" w:space="0"/>
        </w:pBdr>
        <w:tabs>
          <w:tab w:val="center" w:pos="1134"/>
          <w:tab w:val="clear" w:pos="4153"/>
        </w:tabs>
        <w:snapToGrid/>
        <w:spacing w:line="360" w:lineRule="auto"/>
        <w:jc w:val="both"/>
        <w:rPr>
          <w:rFonts w:ascii="仿宋" w:hAnsi="仿宋" w:eastAsia="仿宋" w:cs="仿宋"/>
          <w:sz w:val="21"/>
          <w:szCs w:val="21"/>
        </w:rPr>
      </w:pPr>
      <w:r>
        <w:rPr>
          <w:rFonts w:hint="eastAsia" w:ascii="仿宋" w:hAnsi="仿宋" w:eastAsia="仿宋" w:cs="仿宋"/>
          <w:sz w:val="21"/>
          <w:szCs w:val="21"/>
        </w:rPr>
        <w:t>谈判文件发售时间、地点、售价：</w:t>
      </w:r>
    </w:p>
    <w:p>
      <w:pPr>
        <w:pStyle w:val="27"/>
        <w:numPr>
          <w:ilvl w:val="0"/>
          <w:numId w:val="6"/>
        </w:numPr>
        <w:pBdr>
          <w:bottom w:val="none" w:color="auto" w:sz="0" w:space="0"/>
        </w:pBdr>
        <w:tabs>
          <w:tab w:val="center" w:pos="1134"/>
          <w:tab w:val="clear" w:pos="4153"/>
        </w:tabs>
        <w:snapToGrid/>
        <w:spacing w:line="360" w:lineRule="auto"/>
        <w:jc w:val="both"/>
        <w:rPr>
          <w:rFonts w:ascii="仿宋" w:hAnsi="仿宋" w:eastAsia="仿宋" w:cs="仿宋"/>
          <w:sz w:val="21"/>
          <w:szCs w:val="21"/>
        </w:rPr>
      </w:pPr>
      <w:r>
        <w:rPr>
          <w:rFonts w:hint="eastAsia" w:ascii="仿宋" w:hAnsi="仿宋" w:eastAsia="仿宋" w:cs="仿宋"/>
          <w:sz w:val="21"/>
          <w:szCs w:val="21"/>
        </w:rPr>
        <w:t>发售时间：</w:t>
      </w:r>
      <w:r>
        <w:rPr>
          <w:rFonts w:hint="eastAsia" w:ascii="仿宋" w:hAnsi="仿宋" w:eastAsia="仿宋" w:cs="仿宋"/>
          <w:i w:val="0"/>
          <w:caps w:val="0"/>
          <w:color w:val="000000"/>
          <w:spacing w:val="0"/>
          <w:sz w:val="21"/>
          <w:szCs w:val="21"/>
        </w:rPr>
        <w:t>2018年11月</w:t>
      </w:r>
      <w:r>
        <w:rPr>
          <w:rFonts w:hint="eastAsia" w:ascii="仿宋" w:hAnsi="仿宋" w:eastAsia="仿宋" w:cs="仿宋"/>
          <w:i w:val="0"/>
          <w:caps w:val="0"/>
          <w:color w:val="000000"/>
          <w:spacing w:val="0"/>
          <w:sz w:val="21"/>
          <w:szCs w:val="21"/>
          <w:lang w:val="en-US" w:eastAsia="zh-CN"/>
        </w:rPr>
        <w:t>17</w:t>
      </w:r>
      <w:r>
        <w:rPr>
          <w:rFonts w:hint="eastAsia" w:ascii="仿宋" w:hAnsi="仿宋" w:eastAsia="仿宋" w:cs="仿宋"/>
          <w:i w:val="0"/>
          <w:caps w:val="0"/>
          <w:color w:val="000000"/>
          <w:spacing w:val="0"/>
          <w:sz w:val="21"/>
          <w:szCs w:val="21"/>
        </w:rPr>
        <w:t>日至2018年11月</w:t>
      </w:r>
      <w:r>
        <w:rPr>
          <w:rFonts w:hint="eastAsia" w:ascii="仿宋" w:hAnsi="仿宋" w:eastAsia="仿宋" w:cs="仿宋"/>
          <w:i w:val="0"/>
          <w:caps w:val="0"/>
          <w:color w:val="000000"/>
          <w:spacing w:val="0"/>
          <w:sz w:val="21"/>
          <w:szCs w:val="21"/>
          <w:lang w:val="en-US" w:eastAsia="zh-CN"/>
        </w:rPr>
        <w:t>23</w:t>
      </w:r>
      <w:r>
        <w:rPr>
          <w:rFonts w:hint="eastAsia" w:ascii="仿宋" w:hAnsi="仿宋" w:eastAsia="仿宋" w:cs="仿宋"/>
          <w:i w:val="0"/>
          <w:caps w:val="0"/>
          <w:color w:val="000000"/>
          <w:spacing w:val="0"/>
          <w:sz w:val="21"/>
          <w:szCs w:val="21"/>
        </w:rPr>
        <w:t>日</w:t>
      </w:r>
      <w:r>
        <w:rPr>
          <w:rFonts w:hint="eastAsia" w:ascii="仿宋" w:hAnsi="仿宋" w:eastAsia="仿宋" w:cs="仿宋"/>
          <w:sz w:val="21"/>
          <w:szCs w:val="21"/>
        </w:rPr>
        <w:t>（8:00—12:00,14:00—17:00）（节假日除外）</w:t>
      </w:r>
    </w:p>
    <w:p>
      <w:pPr>
        <w:pStyle w:val="27"/>
        <w:numPr>
          <w:ilvl w:val="0"/>
          <w:numId w:val="6"/>
        </w:numPr>
        <w:pBdr>
          <w:bottom w:val="none" w:color="auto" w:sz="0" w:space="0"/>
        </w:pBdr>
        <w:tabs>
          <w:tab w:val="center" w:pos="1134"/>
          <w:tab w:val="clear" w:pos="4153"/>
        </w:tabs>
        <w:snapToGrid/>
        <w:spacing w:line="360" w:lineRule="auto"/>
        <w:jc w:val="both"/>
        <w:rPr>
          <w:rFonts w:ascii="仿宋" w:hAnsi="仿宋" w:eastAsia="仿宋" w:cs="仿宋"/>
          <w:sz w:val="21"/>
          <w:szCs w:val="21"/>
        </w:rPr>
      </w:pPr>
      <w:r>
        <w:rPr>
          <w:rFonts w:hint="eastAsia" w:ascii="仿宋" w:hAnsi="仿宋" w:eastAsia="仿宋" w:cs="仿宋"/>
          <w:sz w:val="21"/>
          <w:szCs w:val="21"/>
        </w:rPr>
        <w:t>报名及获取采购文件地点：</w:t>
      </w:r>
      <w:r>
        <w:rPr>
          <w:rFonts w:hint="eastAsia" w:ascii="仿宋" w:hAnsi="仿宋" w:eastAsia="仿宋" w:cs="仿宋"/>
          <w:i w:val="0"/>
          <w:caps w:val="0"/>
          <w:color w:val="000000"/>
          <w:spacing w:val="0"/>
          <w:sz w:val="21"/>
          <w:szCs w:val="21"/>
        </w:rPr>
        <w:t>防灾科技学院明德楼</w:t>
      </w:r>
      <w:r>
        <w:rPr>
          <w:rFonts w:hint="eastAsia" w:ascii="仿宋" w:hAnsi="仿宋" w:eastAsia="仿宋" w:cs="仿宋"/>
          <w:i w:val="0"/>
          <w:caps w:val="0"/>
          <w:color w:val="000000"/>
          <w:spacing w:val="0"/>
          <w:sz w:val="21"/>
          <w:szCs w:val="21"/>
          <w:lang w:val="en-US" w:eastAsia="zh-CN"/>
        </w:rPr>
        <w:t>122</w:t>
      </w:r>
      <w:r>
        <w:rPr>
          <w:rFonts w:hint="eastAsia" w:ascii="仿宋" w:hAnsi="仿宋" w:eastAsia="仿宋" w:cs="仿宋"/>
          <w:i w:val="0"/>
          <w:caps w:val="0"/>
          <w:color w:val="000000"/>
          <w:spacing w:val="0"/>
          <w:sz w:val="21"/>
          <w:szCs w:val="21"/>
        </w:rPr>
        <w:t>室；联系人：蒋老师、李老师；联系电话：01061596041、</w:t>
      </w:r>
      <w:r>
        <w:rPr>
          <w:rFonts w:hint="eastAsia" w:ascii="仿宋" w:hAnsi="仿宋" w:eastAsia="仿宋" w:cs="仿宋"/>
          <w:i w:val="0"/>
          <w:caps w:val="0"/>
          <w:color w:val="000000"/>
          <w:spacing w:val="0"/>
          <w:sz w:val="21"/>
          <w:szCs w:val="21"/>
          <w:lang w:val="en-US" w:eastAsia="zh-CN"/>
        </w:rPr>
        <w:t>0316-3333559</w:t>
      </w:r>
      <w:r>
        <w:rPr>
          <w:rFonts w:hint="eastAsia" w:ascii="仿宋" w:hAnsi="仿宋" w:eastAsia="仿宋" w:cs="仿宋"/>
          <w:sz w:val="21"/>
          <w:szCs w:val="21"/>
        </w:rPr>
        <w:t>。</w:t>
      </w:r>
    </w:p>
    <w:p>
      <w:pPr>
        <w:pStyle w:val="27"/>
        <w:numPr>
          <w:ilvl w:val="0"/>
          <w:numId w:val="6"/>
        </w:numPr>
        <w:pBdr>
          <w:bottom w:val="none" w:color="auto" w:sz="0" w:space="0"/>
        </w:pBdr>
        <w:tabs>
          <w:tab w:val="center" w:pos="1134"/>
          <w:tab w:val="clear" w:pos="4153"/>
        </w:tabs>
        <w:snapToGrid/>
        <w:spacing w:line="360" w:lineRule="auto"/>
        <w:jc w:val="both"/>
        <w:rPr>
          <w:rFonts w:ascii="仿宋" w:hAnsi="仿宋" w:eastAsia="仿宋" w:cs="仿宋"/>
          <w:sz w:val="21"/>
          <w:szCs w:val="21"/>
        </w:rPr>
      </w:pPr>
      <w:r>
        <w:rPr>
          <w:rFonts w:hint="eastAsia" w:ascii="仿宋" w:hAnsi="仿宋" w:eastAsia="仿宋" w:cs="仿宋"/>
          <w:sz w:val="21"/>
          <w:szCs w:val="21"/>
        </w:rPr>
        <w:t>技术咨询、现场踏勘：防灾科技学院</w:t>
      </w:r>
      <w:r>
        <w:rPr>
          <w:rFonts w:hint="eastAsia" w:ascii="仿宋" w:hAnsi="仿宋" w:eastAsia="仿宋" w:cs="仿宋"/>
          <w:sz w:val="21"/>
          <w:szCs w:val="21"/>
          <w:u w:val="single"/>
        </w:rPr>
        <w:t>图书馆410室</w:t>
      </w:r>
      <w:r>
        <w:rPr>
          <w:rFonts w:hint="eastAsia" w:ascii="仿宋" w:hAnsi="仿宋" w:eastAsia="仿宋" w:cs="仿宋"/>
          <w:sz w:val="21"/>
          <w:szCs w:val="21"/>
        </w:rPr>
        <w:t>；联系人：</w:t>
      </w:r>
      <w:r>
        <w:rPr>
          <w:rFonts w:hint="eastAsia" w:ascii="仿宋" w:hAnsi="仿宋" w:eastAsia="仿宋" w:cs="仿宋"/>
          <w:sz w:val="21"/>
          <w:szCs w:val="21"/>
          <w:u w:val="single"/>
        </w:rPr>
        <w:t xml:space="preserve"> 郭 </w:t>
      </w:r>
      <w:r>
        <w:rPr>
          <w:rFonts w:hint="eastAsia" w:ascii="仿宋" w:hAnsi="仿宋" w:eastAsia="仿宋" w:cs="仿宋"/>
          <w:sz w:val="21"/>
          <w:szCs w:val="21"/>
        </w:rPr>
        <w:t>老师；联系电话：</w:t>
      </w:r>
      <w:r>
        <w:rPr>
          <w:rFonts w:hint="eastAsia" w:ascii="仿宋" w:hAnsi="仿宋" w:eastAsia="仿宋" w:cs="仿宋"/>
          <w:sz w:val="21"/>
          <w:szCs w:val="21"/>
          <w:u w:val="single"/>
        </w:rPr>
        <w:t xml:space="preserve"> 01061597626-615 </w:t>
      </w:r>
      <w:r>
        <w:rPr>
          <w:rFonts w:hint="eastAsia" w:ascii="仿宋" w:hAnsi="仿宋" w:eastAsia="仿宋" w:cs="仿宋"/>
          <w:sz w:val="21"/>
          <w:szCs w:val="21"/>
        </w:rPr>
        <w:t>。</w:t>
      </w:r>
    </w:p>
    <w:p>
      <w:pPr>
        <w:pStyle w:val="27"/>
        <w:numPr>
          <w:ilvl w:val="0"/>
          <w:numId w:val="6"/>
        </w:numPr>
        <w:pBdr>
          <w:bottom w:val="none" w:color="auto" w:sz="0" w:space="0"/>
        </w:pBdr>
        <w:tabs>
          <w:tab w:val="center" w:pos="993"/>
          <w:tab w:val="clear" w:pos="4153"/>
        </w:tabs>
        <w:snapToGrid/>
        <w:spacing w:line="360" w:lineRule="auto"/>
        <w:jc w:val="both"/>
        <w:rPr>
          <w:rFonts w:ascii="仿宋" w:hAnsi="仿宋" w:eastAsia="仿宋" w:cs="仿宋"/>
          <w:sz w:val="21"/>
          <w:szCs w:val="21"/>
        </w:rPr>
      </w:pPr>
      <w:r>
        <w:rPr>
          <w:rFonts w:hint="eastAsia" w:ascii="仿宋" w:hAnsi="仿宋" w:eastAsia="仿宋" w:cs="仿宋"/>
          <w:sz w:val="21"/>
          <w:szCs w:val="21"/>
        </w:rPr>
        <w:t>响应文件提交时间、截止时间及地点：</w:t>
      </w:r>
    </w:p>
    <w:p>
      <w:pPr>
        <w:pStyle w:val="27"/>
        <w:pBdr>
          <w:bottom w:val="none" w:color="auto" w:sz="0" w:space="0"/>
        </w:pBdr>
        <w:snapToGrid/>
        <w:spacing w:line="360" w:lineRule="auto"/>
        <w:ind w:left="525" w:firstLine="420"/>
        <w:jc w:val="both"/>
        <w:rPr>
          <w:rFonts w:ascii="仿宋" w:hAnsi="仿宋" w:eastAsia="仿宋" w:cs="仿宋"/>
          <w:sz w:val="21"/>
          <w:szCs w:val="21"/>
        </w:rPr>
      </w:pPr>
      <w:r>
        <w:rPr>
          <w:rFonts w:hint="eastAsia" w:ascii="仿宋" w:hAnsi="仿宋" w:eastAsia="仿宋" w:cs="仿宋"/>
          <w:sz w:val="21"/>
          <w:szCs w:val="21"/>
        </w:rPr>
        <w:t>截止时间：</w:t>
      </w:r>
      <w:r>
        <w:rPr>
          <w:rFonts w:hint="eastAsia" w:ascii="仿宋" w:hAnsi="仿宋" w:eastAsia="仿宋" w:cs="仿宋"/>
          <w:i w:val="0"/>
          <w:caps w:val="0"/>
          <w:color w:val="000000"/>
          <w:spacing w:val="0"/>
          <w:sz w:val="21"/>
          <w:szCs w:val="21"/>
        </w:rPr>
        <w:t>2018年11月</w:t>
      </w:r>
      <w:r>
        <w:rPr>
          <w:rFonts w:hint="eastAsia" w:ascii="仿宋" w:hAnsi="仿宋" w:eastAsia="仿宋" w:cs="仿宋"/>
          <w:i w:val="0"/>
          <w:caps w:val="0"/>
          <w:color w:val="000000"/>
          <w:spacing w:val="0"/>
          <w:sz w:val="21"/>
          <w:szCs w:val="21"/>
          <w:lang w:val="en-US" w:eastAsia="zh-CN"/>
        </w:rPr>
        <w:t>25</w:t>
      </w:r>
      <w:r>
        <w:rPr>
          <w:rFonts w:hint="eastAsia" w:ascii="仿宋" w:hAnsi="仿宋" w:eastAsia="仿宋" w:cs="仿宋"/>
          <w:i w:val="0"/>
          <w:caps w:val="0"/>
          <w:color w:val="000000"/>
          <w:spacing w:val="0"/>
          <w:sz w:val="21"/>
          <w:szCs w:val="21"/>
        </w:rPr>
        <w:t>日</w:t>
      </w:r>
      <w:r>
        <w:rPr>
          <w:rFonts w:hint="eastAsia" w:ascii="仿宋" w:hAnsi="仿宋" w:eastAsia="仿宋" w:cs="仿宋"/>
          <w:i w:val="0"/>
          <w:caps w:val="0"/>
          <w:color w:val="000000"/>
          <w:spacing w:val="0"/>
          <w:sz w:val="21"/>
          <w:szCs w:val="21"/>
          <w:lang w:val="en-US" w:eastAsia="zh-CN"/>
        </w:rPr>
        <w:t>9</w:t>
      </w:r>
      <w:r>
        <w:rPr>
          <w:rFonts w:hint="eastAsia" w:ascii="仿宋" w:hAnsi="仿宋" w:eastAsia="仿宋" w:cs="仿宋"/>
          <w:i w:val="0"/>
          <w:caps w:val="0"/>
          <w:color w:val="000000"/>
          <w:spacing w:val="0"/>
          <w:sz w:val="21"/>
          <w:szCs w:val="21"/>
        </w:rPr>
        <w:t>：</w:t>
      </w:r>
      <w:r>
        <w:rPr>
          <w:rFonts w:hint="eastAsia" w:ascii="仿宋" w:hAnsi="仿宋" w:eastAsia="仿宋" w:cs="仿宋"/>
          <w:i w:val="0"/>
          <w:caps w:val="0"/>
          <w:color w:val="000000"/>
          <w:spacing w:val="0"/>
          <w:sz w:val="21"/>
          <w:szCs w:val="21"/>
          <w:lang w:val="en-US" w:eastAsia="zh-CN"/>
        </w:rPr>
        <w:t>0</w:t>
      </w:r>
      <w:r>
        <w:rPr>
          <w:rFonts w:hint="eastAsia" w:ascii="仿宋" w:hAnsi="仿宋" w:eastAsia="仿宋" w:cs="仿宋"/>
          <w:i w:val="0"/>
          <w:caps w:val="0"/>
          <w:color w:val="000000"/>
          <w:spacing w:val="0"/>
          <w:sz w:val="21"/>
          <w:szCs w:val="21"/>
        </w:rPr>
        <w:t>0时</w:t>
      </w:r>
    </w:p>
    <w:p>
      <w:pPr>
        <w:pStyle w:val="27"/>
        <w:pBdr>
          <w:bottom w:val="none" w:color="auto" w:sz="0" w:space="0"/>
        </w:pBdr>
        <w:snapToGrid/>
        <w:spacing w:line="360" w:lineRule="auto"/>
        <w:ind w:left="525" w:firstLine="420"/>
        <w:jc w:val="both"/>
        <w:rPr>
          <w:rFonts w:ascii="仿宋" w:hAnsi="仿宋" w:eastAsia="仿宋" w:cs="仿宋"/>
          <w:sz w:val="21"/>
          <w:szCs w:val="21"/>
        </w:rPr>
      </w:pPr>
      <w:r>
        <w:rPr>
          <w:rFonts w:hint="eastAsia" w:ascii="仿宋" w:hAnsi="仿宋" w:eastAsia="仿宋" w:cs="仿宋"/>
          <w:sz w:val="21"/>
          <w:szCs w:val="21"/>
        </w:rPr>
        <w:t>地点：防灾科技学院明德楼</w:t>
      </w:r>
      <w:r>
        <w:rPr>
          <w:rFonts w:hint="eastAsia" w:ascii="仿宋" w:hAnsi="仿宋" w:eastAsia="仿宋" w:cs="仿宋"/>
          <w:sz w:val="21"/>
          <w:szCs w:val="21"/>
          <w:u w:val="single"/>
        </w:rPr>
        <w:t xml:space="preserve"> 23</w:t>
      </w:r>
      <w:r>
        <w:rPr>
          <w:rFonts w:hint="eastAsia" w:ascii="仿宋" w:hAnsi="仿宋" w:eastAsia="仿宋" w:cs="仿宋"/>
          <w:sz w:val="21"/>
          <w:szCs w:val="21"/>
          <w:u w:val="single"/>
          <w:lang w:val="en-US" w:eastAsia="zh-CN"/>
        </w:rPr>
        <w:t>8</w:t>
      </w:r>
      <w:r>
        <w:rPr>
          <w:rFonts w:hint="eastAsia" w:ascii="仿宋" w:hAnsi="仿宋" w:eastAsia="仿宋" w:cs="仿宋"/>
          <w:sz w:val="21"/>
          <w:szCs w:val="21"/>
          <w:u w:val="single"/>
        </w:rPr>
        <w:t xml:space="preserve"> </w:t>
      </w:r>
      <w:r>
        <w:rPr>
          <w:rFonts w:hint="eastAsia" w:ascii="仿宋" w:hAnsi="仿宋" w:eastAsia="仿宋" w:cs="仿宋"/>
          <w:sz w:val="21"/>
          <w:szCs w:val="21"/>
        </w:rPr>
        <w:t>会议室</w:t>
      </w:r>
    </w:p>
    <w:p>
      <w:pPr>
        <w:pStyle w:val="27"/>
        <w:pBdr>
          <w:bottom w:val="none" w:color="auto" w:sz="0" w:space="0"/>
        </w:pBdr>
        <w:snapToGrid/>
        <w:spacing w:line="360" w:lineRule="auto"/>
        <w:ind w:left="525" w:firstLine="420"/>
        <w:jc w:val="both"/>
        <w:rPr>
          <w:rFonts w:ascii="仿宋" w:hAnsi="仿宋" w:eastAsia="仿宋" w:cs="仿宋"/>
          <w:sz w:val="21"/>
          <w:szCs w:val="21"/>
        </w:rPr>
      </w:pPr>
      <w:r>
        <w:rPr>
          <w:rFonts w:hint="eastAsia" w:ascii="仿宋" w:hAnsi="仿宋" w:eastAsia="仿宋" w:cs="仿宋"/>
          <w:sz w:val="21"/>
          <w:szCs w:val="21"/>
        </w:rPr>
        <w:t>响应文件应密封送达指定地点，在截止时间后送达的响应文件为无效文件，将被拒收。</w:t>
      </w:r>
    </w:p>
    <w:p>
      <w:pPr>
        <w:pStyle w:val="27"/>
        <w:numPr>
          <w:ilvl w:val="0"/>
          <w:numId w:val="6"/>
        </w:numPr>
        <w:pBdr>
          <w:bottom w:val="none" w:color="auto" w:sz="0" w:space="0"/>
        </w:pBdr>
        <w:tabs>
          <w:tab w:val="center" w:pos="993"/>
          <w:tab w:val="clear" w:pos="4153"/>
        </w:tabs>
        <w:snapToGrid/>
        <w:spacing w:line="360" w:lineRule="auto"/>
        <w:jc w:val="both"/>
        <w:rPr>
          <w:rFonts w:ascii="仿宋" w:hAnsi="仿宋" w:eastAsia="仿宋" w:cs="仿宋"/>
          <w:sz w:val="21"/>
          <w:szCs w:val="21"/>
        </w:rPr>
      </w:pPr>
      <w:r>
        <w:rPr>
          <w:rFonts w:hint="eastAsia" w:ascii="仿宋" w:hAnsi="仿宋" w:eastAsia="仿宋" w:cs="仿宋"/>
          <w:sz w:val="21"/>
          <w:szCs w:val="21"/>
        </w:rPr>
        <w:t>最后报价提交时间及地点：</w:t>
      </w:r>
    </w:p>
    <w:p>
      <w:pPr>
        <w:pStyle w:val="27"/>
        <w:pBdr>
          <w:bottom w:val="none" w:color="auto" w:sz="0" w:space="0"/>
        </w:pBdr>
        <w:snapToGrid/>
        <w:spacing w:line="360" w:lineRule="auto"/>
        <w:ind w:left="525" w:firstLine="420"/>
        <w:jc w:val="both"/>
        <w:rPr>
          <w:rFonts w:ascii="仿宋" w:hAnsi="仿宋" w:eastAsia="仿宋" w:cs="仿宋"/>
          <w:sz w:val="21"/>
          <w:szCs w:val="21"/>
        </w:rPr>
      </w:pPr>
      <w:r>
        <w:rPr>
          <w:rFonts w:hint="eastAsia" w:ascii="仿宋" w:hAnsi="仿宋" w:eastAsia="仿宋" w:cs="仿宋"/>
          <w:sz w:val="21"/>
          <w:szCs w:val="21"/>
        </w:rPr>
        <w:t>提交时间：</w:t>
      </w:r>
      <w:r>
        <w:rPr>
          <w:rFonts w:hint="eastAsia" w:ascii="仿宋" w:hAnsi="仿宋" w:eastAsia="仿宋" w:cs="仿宋"/>
          <w:i w:val="0"/>
          <w:caps w:val="0"/>
          <w:color w:val="000000"/>
          <w:spacing w:val="0"/>
          <w:sz w:val="21"/>
          <w:szCs w:val="21"/>
        </w:rPr>
        <w:t>2018年11月</w:t>
      </w:r>
      <w:r>
        <w:rPr>
          <w:rFonts w:hint="eastAsia" w:ascii="仿宋" w:hAnsi="仿宋" w:eastAsia="仿宋" w:cs="仿宋"/>
          <w:i w:val="0"/>
          <w:caps w:val="0"/>
          <w:color w:val="000000"/>
          <w:spacing w:val="0"/>
          <w:sz w:val="21"/>
          <w:szCs w:val="21"/>
          <w:lang w:val="en-US" w:eastAsia="zh-CN"/>
        </w:rPr>
        <w:t>25</w:t>
      </w:r>
      <w:r>
        <w:rPr>
          <w:rFonts w:hint="eastAsia" w:ascii="仿宋" w:hAnsi="仿宋" w:eastAsia="仿宋" w:cs="仿宋"/>
          <w:i w:val="0"/>
          <w:caps w:val="0"/>
          <w:color w:val="000000"/>
          <w:spacing w:val="0"/>
          <w:sz w:val="21"/>
          <w:szCs w:val="21"/>
        </w:rPr>
        <w:t>日</w:t>
      </w:r>
      <w:r>
        <w:rPr>
          <w:rFonts w:hint="eastAsia" w:ascii="仿宋" w:hAnsi="仿宋" w:eastAsia="仿宋" w:cs="仿宋"/>
          <w:i w:val="0"/>
          <w:caps w:val="0"/>
          <w:color w:val="000000"/>
          <w:spacing w:val="0"/>
          <w:sz w:val="21"/>
          <w:szCs w:val="21"/>
          <w:lang w:val="en-US" w:eastAsia="zh-CN"/>
        </w:rPr>
        <w:t>9</w:t>
      </w:r>
      <w:r>
        <w:rPr>
          <w:rFonts w:hint="eastAsia" w:ascii="仿宋" w:hAnsi="仿宋" w:eastAsia="仿宋" w:cs="仿宋"/>
          <w:i w:val="0"/>
          <w:caps w:val="0"/>
          <w:color w:val="000000"/>
          <w:spacing w:val="0"/>
          <w:sz w:val="21"/>
          <w:szCs w:val="21"/>
        </w:rPr>
        <w:t>：</w:t>
      </w:r>
      <w:r>
        <w:rPr>
          <w:rFonts w:hint="eastAsia" w:ascii="仿宋" w:hAnsi="仿宋" w:eastAsia="仿宋" w:cs="仿宋"/>
          <w:i w:val="0"/>
          <w:caps w:val="0"/>
          <w:color w:val="000000"/>
          <w:spacing w:val="0"/>
          <w:sz w:val="21"/>
          <w:szCs w:val="21"/>
          <w:lang w:val="en-US" w:eastAsia="zh-CN"/>
        </w:rPr>
        <w:t>0</w:t>
      </w:r>
      <w:r>
        <w:rPr>
          <w:rFonts w:hint="eastAsia" w:ascii="仿宋" w:hAnsi="仿宋" w:eastAsia="仿宋" w:cs="仿宋"/>
          <w:i w:val="0"/>
          <w:caps w:val="0"/>
          <w:color w:val="000000"/>
          <w:spacing w:val="0"/>
          <w:sz w:val="21"/>
          <w:szCs w:val="21"/>
        </w:rPr>
        <w:t>0时</w:t>
      </w:r>
    </w:p>
    <w:p>
      <w:pPr>
        <w:pStyle w:val="27"/>
        <w:pBdr>
          <w:bottom w:val="none" w:color="auto" w:sz="0" w:space="0"/>
        </w:pBdr>
        <w:snapToGrid/>
        <w:spacing w:line="360" w:lineRule="auto"/>
        <w:ind w:left="945" w:leftChars="450"/>
        <w:jc w:val="both"/>
        <w:rPr>
          <w:rFonts w:ascii="仿宋" w:hAnsi="仿宋" w:eastAsia="仿宋" w:cs="仿宋"/>
          <w:sz w:val="21"/>
          <w:szCs w:val="21"/>
        </w:rPr>
      </w:pPr>
      <w:r>
        <w:rPr>
          <w:rFonts w:hint="eastAsia" w:ascii="仿宋" w:hAnsi="仿宋" w:eastAsia="仿宋" w:cs="仿宋"/>
          <w:sz w:val="21"/>
          <w:szCs w:val="21"/>
        </w:rPr>
        <w:t>地点：同响应文件提交地点</w:t>
      </w:r>
    </w:p>
    <w:p>
      <w:pPr>
        <w:spacing w:line="360" w:lineRule="auto"/>
        <w:ind w:left="945" w:hanging="420"/>
        <w:rPr>
          <w:rFonts w:ascii="仿宋" w:hAnsi="仿宋" w:eastAsia="仿宋" w:cs="仿宋"/>
          <w:szCs w:val="21"/>
        </w:rPr>
      </w:pPr>
      <w:r>
        <w:rPr>
          <w:rFonts w:hint="eastAsia" w:ascii="仿宋" w:hAnsi="仿宋" w:eastAsia="仿宋" w:cs="仿宋"/>
          <w:szCs w:val="21"/>
        </w:rPr>
        <w:t>7．凡对谈判提出询问，请按下列内容与采购人联系：</w:t>
      </w:r>
    </w:p>
    <w:p>
      <w:pPr>
        <w:spacing w:line="360" w:lineRule="auto"/>
        <w:ind w:left="945" w:hanging="420"/>
        <w:rPr>
          <w:rFonts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防灾科技学院图书馆410室     </w:t>
      </w:r>
    </w:p>
    <w:p>
      <w:pPr>
        <w:spacing w:line="360" w:lineRule="auto"/>
        <w:ind w:left="945" w:hanging="420"/>
        <w:rPr>
          <w:rFonts w:ascii="仿宋" w:hAnsi="仿宋" w:eastAsia="仿宋" w:cs="仿宋"/>
          <w:szCs w:val="21"/>
        </w:rPr>
      </w:pPr>
      <w:r>
        <w:rPr>
          <w:rFonts w:hint="eastAsia" w:ascii="仿宋" w:hAnsi="仿宋" w:eastAsia="仿宋" w:cs="仿宋"/>
          <w:szCs w:val="21"/>
        </w:rPr>
        <w:t xml:space="preserve">   电    话：</w:t>
      </w:r>
      <w:r>
        <w:rPr>
          <w:rFonts w:hint="eastAsia" w:ascii="仿宋" w:hAnsi="仿宋" w:eastAsia="仿宋" w:cs="仿宋"/>
          <w:szCs w:val="21"/>
          <w:u w:val="single"/>
        </w:rPr>
        <w:t xml:space="preserve">  01061597626-615  </w:t>
      </w:r>
    </w:p>
    <w:p>
      <w:pPr>
        <w:spacing w:line="360" w:lineRule="auto"/>
        <w:ind w:left="945" w:hanging="420"/>
        <w:rPr>
          <w:rFonts w:ascii="仿宋" w:hAnsi="仿宋" w:eastAsia="仿宋" w:cs="仿宋"/>
          <w:szCs w:val="21"/>
        </w:rPr>
      </w:pPr>
      <w:r>
        <w:rPr>
          <w:rFonts w:hint="eastAsia" w:ascii="仿宋" w:hAnsi="仿宋" w:eastAsia="仿宋" w:cs="仿宋"/>
          <w:szCs w:val="21"/>
        </w:rPr>
        <w:t xml:space="preserve">   联 系 人：</w:t>
      </w:r>
      <w:r>
        <w:rPr>
          <w:rFonts w:hint="eastAsia" w:ascii="仿宋" w:hAnsi="仿宋" w:eastAsia="仿宋" w:cs="仿宋"/>
          <w:szCs w:val="21"/>
          <w:u w:val="single"/>
        </w:rPr>
        <w:t xml:space="preserve">   郭老师  </w:t>
      </w:r>
    </w:p>
    <w:p>
      <w:pPr>
        <w:spacing w:line="360" w:lineRule="auto"/>
        <w:ind w:left="945" w:hanging="420"/>
        <w:rPr>
          <w:rFonts w:ascii="仿宋" w:hAnsi="仿宋" w:eastAsia="仿宋" w:cs="仿宋"/>
          <w:szCs w:val="21"/>
        </w:rPr>
      </w:pPr>
      <w:r>
        <w:rPr>
          <w:rFonts w:hint="eastAsia" w:ascii="仿宋" w:hAnsi="仿宋" w:eastAsia="仿宋" w:cs="仿宋"/>
          <w:szCs w:val="21"/>
        </w:rPr>
        <w:t xml:space="preserve">   </w:t>
      </w:r>
    </w:p>
    <w:p>
      <w:pPr>
        <w:pStyle w:val="2"/>
        <w:spacing w:before="0" w:after="0" w:line="360" w:lineRule="auto"/>
        <w:rPr>
          <w:rFonts w:ascii="仿宋" w:hAnsi="仿宋" w:eastAsia="仿宋" w:cs="仿宋"/>
          <w:sz w:val="21"/>
          <w:szCs w:val="21"/>
        </w:rPr>
      </w:pPr>
      <w:bookmarkStart w:id="3" w:name="_Toc380479085"/>
      <w:bookmarkStart w:id="4" w:name="_Toc511641658"/>
      <w:bookmarkStart w:id="5" w:name="_Toc470496183"/>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pStyle w:val="2"/>
        <w:spacing w:before="0" w:after="0" w:line="360" w:lineRule="auto"/>
        <w:rPr>
          <w:rFonts w:ascii="仿宋" w:hAnsi="仿宋" w:eastAsia="仿宋" w:cs="仿宋"/>
          <w:sz w:val="21"/>
          <w:szCs w:val="21"/>
        </w:rPr>
      </w:pPr>
      <w:r>
        <w:rPr>
          <w:rFonts w:hint="eastAsia" w:ascii="仿宋" w:hAnsi="仿宋" w:eastAsia="仿宋" w:cs="仿宋"/>
          <w:sz w:val="21"/>
          <w:szCs w:val="21"/>
        </w:rPr>
        <w:t>第二章  谈判供应商须知</w:t>
      </w:r>
      <w:bookmarkEnd w:id="3"/>
      <w:bookmarkEnd w:id="4"/>
      <w:bookmarkEnd w:id="5"/>
    </w:p>
    <w:p>
      <w:pPr>
        <w:spacing w:line="360" w:lineRule="auto"/>
        <w:rPr>
          <w:rFonts w:ascii="仿宋" w:hAnsi="仿宋" w:eastAsia="仿宋" w:cs="仿宋"/>
          <w:szCs w:val="21"/>
        </w:rPr>
      </w:pPr>
    </w:p>
    <w:p>
      <w:pPr>
        <w:pStyle w:val="2"/>
        <w:spacing w:before="0" w:after="0" w:line="360" w:lineRule="auto"/>
        <w:rPr>
          <w:rFonts w:ascii="仿宋" w:hAnsi="仿宋" w:eastAsia="仿宋" w:cs="仿宋"/>
          <w:b w:val="0"/>
          <w:sz w:val="21"/>
          <w:szCs w:val="21"/>
        </w:rPr>
      </w:pPr>
      <w:bookmarkStart w:id="6" w:name="_Toc380479086"/>
      <w:r>
        <w:rPr>
          <w:rFonts w:hint="eastAsia" w:ascii="仿宋" w:hAnsi="仿宋" w:eastAsia="仿宋" w:cs="仿宋"/>
          <w:sz w:val="21"/>
          <w:szCs w:val="21"/>
        </w:rPr>
        <w:t>谈判供应商须知前附表</w:t>
      </w:r>
      <w:bookmarkEnd w:id="6"/>
    </w:p>
    <w:p>
      <w:pPr>
        <w:spacing w:line="360" w:lineRule="auto"/>
        <w:ind w:firstLine="315" w:firstLineChars="150"/>
        <w:rPr>
          <w:rFonts w:ascii="仿宋" w:hAnsi="仿宋" w:eastAsia="仿宋" w:cs="仿宋"/>
          <w:szCs w:val="21"/>
        </w:rPr>
      </w:pPr>
      <w:r>
        <w:rPr>
          <w:rFonts w:hint="eastAsia" w:ascii="仿宋" w:hAnsi="仿宋" w:eastAsia="仿宋" w:cs="仿宋"/>
          <w:szCs w:val="21"/>
        </w:rPr>
        <w:t xml:space="preserve"> 本表是关于本次要采购服务的具体资料，是对谈判供应商须知的具体补充和修改，如有矛盾，应以本表为准。</w:t>
      </w:r>
    </w:p>
    <w:tbl>
      <w:tblPr>
        <w:tblStyle w:val="49"/>
        <w:tblW w:w="921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8"/>
        <w:gridCol w:w="22"/>
        <w:gridCol w:w="7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spacing w:line="360" w:lineRule="auto"/>
              <w:ind w:left="1081" w:leftChars="-13" w:hanging="1108"/>
              <w:jc w:val="center"/>
              <w:rPr>
                <w:rFonts w:ascii="仿宋" w:hAnsi="仿宋" w:eastAsia="仿宋" w:cs="仿宋"/>
                <w:szCs w:val="21"/>
              </w:rPr>
            </w:pPr>
            <w:r>
              <w:rPr>
                <w:rFonts w:hint="eastAsia" w:ascii="仿宋" w:hAnsi="仿宋" w:eastAsia="仿宋" w:cs="仿宋"/>
                <w:szCs w:val="21"/>
              </w:rPr>
              <w:t>条款号</w:t>
            </w:r>
          </w:p>
        </w:tc>
        <w:tc>
          <w:tcPr>
            <w:tcW w:w="7774" w:type="dxa"/>
            <w:vAlign w:val="center"/>
          </w:tcPr>
          <w:p>
            <w:pPr>
              <w:spacing w:line="360" w:lineRule="auto"/>
              <w:ind w:left="1080" w:hanging="1080"/>
              <w:jc w:val="center"/>
              <w:rPr>
                <w:rFonts w:ascii="仿宋" w:hAnsi="仿宋" w:eastAsia="仿宋" w:cs="仿宋"/>
                <w:szCs w:val="21"/>
              </w:rPr>
            </w:pPr>
            <w:r>
              <w:rPr>
                <w:rFonts w:hint="eastAsia" w:ascii="仿宋" w:hAnsi="仿宋" w:eastAsia="仿宋" w:cs="仿宋"/>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35"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1.1</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采购人：防灾科技学院</w:t>
            </w:r>
          </w:p>
          <w:p>
            <w:pPr>
              <w:spacing w:line="360" w:lineRule="auto"/>
              <w:rPr>
                <w:rFonts w:ascii="仿宋" w:hAnsi="仿宋" w:eastAsia="仿宋" w:cs="仿宋"/>
                <w:szCs w:val="21"/>
              </w:rPr>
            </w:pPr>
            <w:r>
              <w:rPr>
                <w:rFonts w:hint="eastAsia" w:ascii="仿宋" w:hAnsi="仿宋" w:eastAsia="仿宋" w:cs="仿宋"/>
                <w:szCs w:val="21"/>
              </w:rPr>
              <w:t>地  址：燕郊高新区防灾科技学院</w:t>
            </w:r>
          </w:p>
          <w:p>
            <w:pPr>
              <w:widowControl/>
              <w:spacing w:line="360" w:lineRule="auto"/>
              <w:jc w:val="left"/>
              <w:rPr>
                <w:rFonts w:ascii="仿宋" w:hAnsi="仿宋" w:eastAsia="仿宋" w:cs="仿宋"/>
                <w:kern w:val="0"/>
                <w:szCs w:val="21"/>
              </w:rPr>
            </w:pPr>
            <w:r>
              <w:rPr>
                <w:rFonts w:hint="eastAsia" w:ascii="仿宋" w:hAnsi="仿宋" w:eastAsia="仿宋" w:cs="仿宋"/>
                <w:szCs w:val="21"/>
              </w:rPr>
              <w:t>联系人：郭老师 01061597626-615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 xml:space="preserve">1.2 </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项目名称：天仪楼室内公共区域空间文化建设-关山月作品及《美国国家地理125周年》图片复制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1.3</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项目预算：人民币20万元。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2.1（1）</w:t>
            </w:r>
          </w:p>
        </w:tc>
        <w:tc>
          <w:tcPr>
            <w:tcW w:w="7774" w:type="dxa"/>
            <w:vAlign w:val="center"/>
          </w:tcPr>
          <w:p>
            <w:pPr>
              <w:numPr>
                <w:ilvl w:val="0"/>
                <w:numId w:val="7"/>
              </w:numPr>
              <w:spacing w:line="360" w:lineRule="auto"/>
              <w:rPr>
                <w:rFonts w:ascii="仿宋" w:hAnsi="仿宋" w:eastAsia="仿宋" w:cs="仿宋"/>
                <w:szCs w:val="21"/>
              </w:rPr>
            </w:pPr>
            <w:r>
              <w:rPr>
                <w:rFonts w:hint="eastAsia" w:ascii="仿宋" w:hAnsi="仿宋" w:eastAsia="仿宋" w:cs="仿宋"/>
                <w:szCs w:val="21"/>
              </w:rPr>
              <w:t>合格供应商资格条件其他要求：无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2.1（2）</w:t>
            </w:r>
          </w:p>
        </w:tc>
        <w:tc>
          <w:tcPr>
            <w:tcW w:w="7774" w:type="dxa"/>
            <w:vAlign w:val="center"/>
          </w:tcPr>
          <w:p>
            <w:pPr>
              <w:spacing w:line="360" w:lineRule="auto"/>
              <w:rPr>
                <w:rFonts w:ascii="仿宋" w:hAnsi="仿宋" w:eastAsia="仿宋" w:cs="仿宋"/>
                <w:szCs w:val="21"/>
                <w:u w:val="single"/>
              </w:rPr>
            </w:pPr>
            <w:r>
              <w:rPr>
                <w:rFonts w:hint="eastAsia" w:ascii="仿宋" w:hAnsi="仿宋" w:eastAsia="仿宋" w:cs="仿宋"/>
                <w:szCs w:val="21"/>
              </w:rPr>
              <w:t>是否专门面向中小企业采购：</w:t>
            </w:r>
            <w:r>
              <w:rPr>
                <w:rFonts w:hint="eastAsia" w:ascii="仿宋" w:hAnsi="仿宋" w:eastAsia="仿宋" w:cs="仿宋"/>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2.2</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是否允许联合体参加谈判：</w:t>
            </w:r>
            <w:r>
              <w:rPr>
                <w:rFonts w:hint="eastAsia" w:ascii="仿宋" w:hAnsi="仿宋" w:eastAsia="仿宋" w:cs="仿宋"/>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2.3</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对联合体的其他资格要求：不适用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3.1（1）</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采购需求响应方案内容要求：提供第三章采购需求的点对点应答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3.1（2）</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资格证明文件：</w:t>
            </w:r>
          </w:p>
          <w:p>
            <w:pPr>
              <w:spacing w:line="360" w:lineRule="auto"/>
              <w:rPr>
                <w:rFonts w:ascii="仿宋" w:hAnsi="仿宋" w:eastAsia="仿宋" w:cs="仿宋"/>
                <w:szCs w:val="21"/>
              </w:rPr>
            </w:pPr>
            <w:r>
              <w:rPr>
                <w:rFonts w:hint="eastAsia" w:ascii="仿宋" w:hAnsi="仿宋" w:eastAsia="仿宋" w:cs="仿宋"/>
                <w:szCs w:val="21"/>
              </w:rPr>
              <w:t>1、法定代表人授权书（原件，加盖公章，供应商为自然人的无须提供）</w:t>
            </w:r>
          </w:p>
          <w:p>
            <w:pPr>
              <w:spacing w:line="360" w:lineRule="auto"/>
              <w:rPr>
                <w:rFonts w:ascii="仿宋" w:hAnsi="仿宋" w:eastAsia="仿宋" w:cs="仿宋"/>
                <w:szCs w:val="21"/>
              </w:rPr>
            </w:pPr>
            <w:r>
              <w:rPr>
                <w:rFonts w:hint="eastAsia" w:ascii="仿宋" w:hAnsi="仿宋" w:eastAsia="仿宋" w:cs="仿宋"/>
                <w:szCs w:val="21"/>
              </w:rPr>
              <w:t>2、谈判供应商情况表（原件，加盖公章，供应商为自然人的无须提供）</w:t>
            </w:r>
          </w:p>
          <w:p>
            <w:pPr>
              <w:spacing w:line="360" w:lineRule="auto"/>
              <w:rPr>
                <w:rFonts w:ascii="仿宋" w:hAnsi="仿宋" w:eastAsia="仿宋" w:cs="仿宋"/>
                <w:szCs w:val="21"/>
              </w:rPr>
            </w:pPr>
            <w:r>
              <w:rPr>
                <w:rFonts w:hint="eastAsia" w:ascii="仿宋" w:hAnsi="仿宋" w:eastAsia="仿宋" w:cs="仿宋"/>
                <w:szCs w:val="21"/>
              </w:rPr>
              <w:t>3、营业执照（副本复印件，加盖公章）或事业单位法人证书（副本复印件，加盖公章）</w:t>
            </w:r>
          </w:p>
          <w:p>
            <w:pPr>
              <w:spacing w:line="360" w:lineRule="auto"/>
              <w:rPr>
                <w:rFonts w:ascii="仿宋" w:hAnsi="仿宋" w:eastAsia="仿宋" w:cs="仿宋"/>
                <w:szCs w:val="21"/>
              </w:rPr>
            </w:pPr>
            <w:r>
              <w:rPr>
                <w:rFonts w:hint="eastAsia" w:ascii="仿宋" w:hAnsi="仿宋" w:eastAsia="仿宋" w:cs="仿宋"/>
                <w:szCs w:val="21"/>
              </w:rPr>
              <w:t>4、近期谈判供应商缴纳企业所得税或增值税的证明（1个月的即可，缴纳发票复印件，加盖公章）或事业单位近期纳税证明（缴纳发票复印件，加盖公章）或自然人缴纳个人所得税证明</w:t>
            </w:r>
          </w:p>
          <w:p>
            <w:pPr>
              <w:spacing w:line="360" w:lineRule="auto"/>
              <w:rPr>
                <w:rFonts w:ascii="仿宋" w:hAnsi="仿宋" w:eastAsia="仿宋" w:cs="仿宋"/>
                <w:szCs w:val="21"/>
              </w:rPr>
            </w:pPr>
            <w:r>
              <w:rPr>
                <w:rFonts w:hint="eastAsia" w:ascii="仿宋" w:hAnsi="仿宋" w:eastAsia="仿宋" w:cs="仿宋"/>
                <w:szCs w:val="21"/>
              </w:rPr>
              <w:t>5、近期谈判供应商为职工缴纳社会保险的证明（1个月的即可包括基本养老保险费、基本医疗保险费、失业保险费等缴纳发票复印件，加盖公章。依法不需要缴纳社保的供应商应提供不需缴纳的声明原件，格式自定）</w:t>
            </w:r>
          </w:p>
          <w:p>
            <w:pPr>
              <w:spacing w:line="360" w:lineRule="auto"/>
              <w:rPr>
                <w:rFonts w:ascii="仿宋" w:hAnsi="仿宋" w:eastAsia="仿宋" w:cs="仿宋"/>
                <w:szCs w:val="21"/>
              </w:rPr>
            </w:pPr>
            <w:r>
              <w:rPr>
                <w:rFonts w:hint="eastAsia" w:ascii="仿宋" w:hAnsi="仿宋" w:eastAsia="仿宋" w:cs="仿宋"/>
                <w:szCs w:val="21"/>
              </w:rPr>
              <w:t>6、开户银行为本项目出具的资信证明（原件）或上年度由会计师事务所出具的财务审计报告（复印件，加盖公章）</w:t>
            </w:r>
          </w:p>
          <w:p>
            <w:pPr>
              <w:spacing w:line="360" w:lineRule="auto"/>
              <w:rPr>
                <w:rFonts w:ascii="仿宋" w:hAnsi="仿宋" w:eastAsia="仿宋" w:cs="仿宋"/>
                <w:szCs w:val="21"/>
              </w:rPr>
            </w:pPr>
            <w:r>
              <w:rPr>
                <w:rFonts w:hint="eastAsia" w:ascii="仿宋" w:hAnsi="仿宋" w:eastAsia="仿宋" w:cs="仿宋"/>
                <w:szCs w:val="21"/>
              </w:rPr>
              <w:t>7、谈判供应商参加政府采购活动近三年内无违法记录的说明（格式自定，原件）</w:t>
            </w:r>
          </w:p>
          <w:p>
            <w:pPr>
              <w:spacing w:line="360" w:lineRule="auto"/>
              <w:rPr>
                <w:rFonts w:ascii="仿宋" w:hAnsi="仿宋" w:eastAsia="仿宋" w:cs="仿宋"/>
                <w:szCs w:val="21"/>
              </w:rPr>
            </w:pPr>
            <w:r>
              <w:rPr>
                <w:rFonts w:hint="eastAsia" w:ascii="仿宋" w:hAnsi="仿宋" w:eastAsia="仿宋" w:cs="仿宋"/>
                <w:szCs w:val="21"/>
              </w:rPr>
              <w:t>8、谈判供应商企业类型声明函、制造商企业类型声明函（原件，符合《政府采购促进中小企业发展暂行办法》（财库[2011]181号）价格扣减条件的谈判供应商须提交）</w:t>
            </w:r>
          </w:p>
          <w:p>
            <w:pPr>
              <w:spacing w:line="360" w:lineRule="auto"/>
              <w:rPr>
                <w:rFonts w:ascii="仿宋" w:hAnsi="仿宋" w:eastAsia="仿宋" w:cs="仿宋"/>
                <w:szCs w:val="21"/>
              </w:rPr>
            </w:pPr>
            <w:r>
              <w:rPr>
                <w:rFonts w:hint="eastAsia" w:ascii="仿宋" w:hAnsi="仿宋" w:eastAsia="仿宋" w:cs="仿宋"/>
                <w:szCs w:val="21"/>
              </w:rPr>
              <w:t>9、投标人认为可以证明其工作和项目能力的其他资质文件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4.1（1）</w:t>
            </w:r>
          </w:p>
        </w:tc>
        <w:tc>
          <w:tcPr>
            <w:tcW w:w="7774" w:type="dxa"/>
            <w:vAlign w:val="center"/>
          </w:tcPr>
          <w:p>
            <w:pPr>
              <w:spacing w:line="360" w:lineRule="auto"/>
              <w:ind w:hanging="50"/>
              <w:jc w:val="left"/>
              <w:rPr>
                <w:rFonts w:ascii="仿宋" w:hAnsi="仿宋" w:eastAsia="仿宋" w:cs="仿宋"/>
                <w:szCs w:val="21"/>
              </w:rPr>
            </w:pPr>
            <w:r>
              <w:rPr>
                <w:rFonts w:hint="eastAsia" w:ascii="仿宋" w:hAnsi="仿宋" w:eastAsia="仿宋" w:cs="仿宋"/>
                <w:szCs w:val="21"/>
              </w:rPr>
              <w:t>响应文件其他内容：无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5.1</w:t>
            </w:r>
          </w:p>
        </w:tc>
        <w:tc>
          <w:tcPr>
            <w:tcW w:w="7774" w:type="dxa"/>
            <w:vAlign w:val="center"/>
          </w:tcPr>
          <w:p>
            <w:pPr>
              <w:spacing w:line="360" w:lineRule="auto"/>
              <w:ind w:hanging="50"/>
              <w:jc w:val="left"/>
              <w:rPr>
                <w:rFonts w:ascii="仿宋" w:hAnsi="仿宋" w:eastAsia="仿宋" w:cs="仿宋"/>
                <w:szCs w:val="21"/>
                <w:u w:val="single"/>
              </w:rPr>
            </w:pPr>
            <w:r>
              <w:rPr>
                <w:rFonts w:hint="eastAsia" w:ascii="仿宋" w:hAnsi="仿宋" w:eastAsia="仿宋" w:cs="仿宋"/>
                <w:szCs w:val="21"/>
              </w:rPr>
              <w:t>响应文件有效期：</w:t>
            </w:r>
            <w:r>
              <w:rPr>
                <w:rFonts w:hint="eastAsia" w:ascii="仿宋" w:hAnsi="仿宋" w:eastAsia="仿宋" w:cs="仿宋"/>
                <w:szCs w:val="21"/>
                <w:u w:val="single"/>
              </w:rPr>
              <w:t>90</w:t>
            </w:r>
            <w:r>
              <w:rPr>
                <w:rFonts w:hint="eastAsia" w:ascii="仿宋" w:hAnsi="仿宋" w:eastAsia="仿宋" w:cs="仿宋"/>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6.1</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响应文件数量：</w:t>
            </w:r>
          </w:p>
          <w:p>
            <w:pPr>
              <w:spacing w:line="360" w:lineRule="auto"/>
              <w:rPr>
                <w:rFonts w:ascii="仿宋" w:hAnsi="仿宋" w:eastAsia="仿宋" w:cs="仿宋"/>
                <w:szCs w:val="21"/>
              </w:rPr>
            </w:pPr>
            <w:r>
              <w:rPr>
                <w:rFonts w:hint="eastAsia" w:ascii="仿宋" w:hAnsi="仿宋" w:eastAsia="仿宋" w:cs="仿宋"/>
                <w:szCs w:val="21"/>
              </w:rPr>
              <w:t>正本：</w:t>
            </w:r>
            <w:r>
              <w:rPr>
                <w:rFonts w:hint="eastAsia" w:ascii="仿宋" w:hAnsi="仿宋" w:eastAsia="仿宋" w:cs="仿宋"/>
                <w:szCs w:val="21"/>
                <w:u w:val="single"/>
              </w:rPr>
              <w:t>1</w:t>
            </w:r>
            <w:r>
              <w:rPr>
                <w:rFonts w:hint="eastAsia" w:ascii="仿宋" w:hAnsi="仿宋" w:eastAsia="仿宋" w:cs="仿宋"/>
                <w:szCs w:val="21"/>
              </w:rPr>
              <w:t>份、副本：</w:t>
            </w:r>
            <w:r>
              <w:rPr>
                <w:rFonts w:hint="eastAsia" w:ascii="仿宋" w:hAnsi="仿宋" w:eastAsia="仿宋" w:cs="仿宋"/>
                <w:szCs w:val="21"/>
                <w:u w:val="single"/>
              </w:rPr>
              <w:t>2</w:t>
            </w:r>
            <w:r>
              <w:rPr>
                <w:rFonts w:hint="eastAsia" w:ascii="仿宋" w:hAnsi="仿宋" w:eastAsia="仿宋" w:cs="仿宋"/>
                <w:szCs w:val="21"/>
              </w:rPr>
              <w:t>份</w:t>
            </w:r>
          </w:p>
          <w:p>
            <w:pPr>
              <w:spacing w:line="360" w:lineRule="auto"/>
              <w:rPr>
                <w:rFonts w:ascii="仿宋" w:hAnsi="仿宋" w:eastAsia="仿宋" w:cs="仿宋"/>
                <w:szCs w:val="21"/>
                <w:u w:val="single"/>
              </w:rPr>
            </w:pPr>
            <w:r>
              <w:rPr>
                <w:rFonts w:hint="eastAsia" w:ascii="仿宋" w:hAnsi="仿宋" w:eastAsia="仿宋" w:cs="仿宋"/>
                <w:szCs w:val="21"/>
              </w:rPr>
              <w:t>电子文档：</w:t>
            </w:r>
            <w:r>
              <w:rPr>
                <w:rFonts w:hint="eastAsia" w:ascii="仿宋" w:hAnsi="仿宋" w:eastAsia="仿宋" w:cs="仿宋"/>
                <w:szCs w:val="21"/>
                <w:u w:val="single"/>
              </w:rPr>
              <w:t>1</w:t>
            </w:r>
            <w:r>
              <w:rPr>
                <w:rFonts w:hint="eastAsia" w:ascii="仿宋" w:hAnsi="仿宋" w:eastAsia="仿宋" w:cs="仿宋"/>
                <w:szCs w:val="21"/>
              </w:rPr>
              <w:t>份（正本扫描件电子文档</w:t>
            </w:r>
            <w:r>
              <w:rPr>
                <w:rFonts w:hint="eastAsia" w:ascii="仿宋" w:hAnsi="仿宋" w:eastAsia="仿宋" w:cs="仿宋"/>
                <w:szCs w:val="21"/>
                <w:u w:val="single"/>
              </w:rPr>
              <w:t>1</w:t>
            </w:r>
            <w:r>
              <w:rPr>
                <w:rFonts w:hint="eastAsia" w:ascii="仿宋" w:hAnsi="仿宋" w:eastAsia="仿宋" w:cs="仿宋"/>
                <w:szCs w:val="21"/>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7.1</w:t>
            </w:r>
          </w:p>
        </w:tc>
        <w:tc>
          <w:tcPr>
            <w:tcW w:w="7774" w:type="dxa"/>
            <w:vAlign w:val="center"/>
          </w:tcPr>
          <w:p>
            <w:pPr>
              <w:spacing w:line="360" w:lineRule="auto"/>
              <w:ind w:left="1260" w:hanging="1260" w:hangingChars="600"/>
              <w:rPr>
                <w:rFonts w:ascii="仿宋" w:hAnsi="仿宋" w:eastAsia="仿宋" w:cs="仿宋"/>
                <w:szCs w:val="21"/>
              </w:rPr>
            </w:pPr>
            <w:r>
              <w:rPr>
                <w:rFonts w:hint="eastAsia" w:ascii="仿宋" w:hAnsi="仿宋" w:eastAsia="仿宋" w:cs="仿宋"/>
                <w:szCs w:val="21"/>
              </w:rPr>
              <w:t>保证金形式：无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spacing w:line="360" w:lineRule="auto"/>
              <w:ind w:left="268" w:leftChars="128"/>
              <w:jc w:val="center"/>
              <w:rPr>
                <w:rFonts w:ascii="仿宋" w:hAnsi="仿宋" w:eastAsia="仿宋" w:cs="仿宋"/>
                <w:szCs w:val="21"/>
              </w:rPr>
            </w:pPr>
            <w:r>
              <w:rPr>
                <w:rFonts w:hint="eastAsia" w:ascii="仿宋" w:hAnsi="仿宋" w:eastAsia="仿宋" w:cs="仿宋"/>
                <w:szCs w:val="21"/>
              </w:rPr>
              <w:t>8.1</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谈判文件可以修改变动的内容：</w:t>
            </w:r>
            <w:r>
              <w:rPr>
                <w:rFonts w:hint="eastAsia" w:ascii="仿宋" w:hAnsi="仿宋" w:eastAsia="仿宋" w:cs="仿宋"/>
                <w:szCs w:val="21"/>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9.1</w:t>
            </w:r>
          </w:p>
        </w:tc>
        <w:tc>
          <w:tcPr>
            <w:tcW w:w="7774" w:type="dxa"/>
            <w:vAlign w:val="center"/>
          </w:tcPr>
          <w:p>
            <w:pPr>
              <w:spacing w:line="360" w:lineRule="auto"/>
              <w:rPr>
                <w:rFonts w:ascii="仿宋" w:hAnsi="仿宋" w:eastAsia="仿宋" w:cs="仿宋"/>
                <w:szCs w:val="21"/>
              </w:rPr>
            </w:pPr>
            <w:r>
              <w:rPr>
                <w:rFonts w:hint="eastAsia" w:ascii="仿宋" w:hAnsi="仿宋" w:eastAsia="仿宋" w:cs="仿宋"/>
                <w:szCs w:val="21"/>
              </w:rPr>
              <w:t>谈判小组推荐成交候选人数量：</w:t>
            </w:r>
            <w:r>
              <w:rPr>
                <w:rFonts w:hint="eastAsia" w:ascii="仿宋" w:hAnsi="仿宋" w:eastAsia="仿宋" w:cs="仿宋"/>
                <w:szCs w:val="21"/>
                <w:u w:val="single"/>
              </w:rPr>
              <w:t>1</w:t>
            </w:r>
            <w:r>
              <w:rPr>
                <w:rFonts w:hint="eastAsia" w:ascii="仿宋" w:hAnsi="仿宋" w:eastAsia="仿宋" w:cs="仿宋"/>
                <w:szCs w:val="21"/>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11" w:hRule="atLeast"/>
        </w:trPr>
        <w:tc>
          <w:tcPr>
            <w:tcW w:w="9214" w:type="dxa"/>
            <w:gridSpan w:val="3"/>
            <w:tcBorders>
              <w:top w:val="single" w:color="auto" w:sz="12" w:space="0"/>
              <w:left w:val="single" w:color="auto" w:sz="12" w:space="0"/>
              <w:bottom w:val="single" w:color="auto" w:sz="12" w:space="0"/>
              <w:right w:val="single" w:color="auto" w:sz="12" w:space="0"/>
            </w:tcBorders>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适用于谈判供应商须知的额外增加的变动：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1418" w:type="dxa"/>
            <w:vAlign w:val="center"/>
          </w:tcPr>
          <w:p>
            <w:pPr>
              <w:spacing w:line="360" w:lineRule="auto"/>
              <w:ind w:left="1079" w:leftChars="257" w:hanging="540"/>
              <w:rPr>
                <w:rFonts w:ascii="仿宋" w:hAnsi="仿宋" w:eastAsia="仿宋" w:cs="仿宋"/>
                <w:szCs w:val="21"/>
              </w:rPr>
            </w:pPr>
            <w:r>
              <w:rPr>
                <w:rFonts w:hint="eastAsia" w:ascii="仿宋" w:hAnsi="仿宋" w:eastAsia="仿宋" w:cs="仿宋"/>
                <w:szCs w:val="21"/>
              </w:rPr>
              <w:t>1</w:t>
            </w:r>
          </w:p>
        </w:tc>
        <w:tc>
          <w:tcPr>
            <w:tcW w:w="7796" w:type="dxa"/>
            <w:gridSpan w:val="2"/>
            <w:vAlign w:val="center"/>
          </w:tcPr>
          <w:p>
            <w:pPr>
              <w:spacing w:line="360" w:lineRule="auto"/>
              <w:rPr>
                <w:rFonts w:ascii="仿宋" w:hAnsi="仿宋" w:eastAsia="仿宋" w:cs="仿宋"/>
                <w:szCs w:val="21"/>
              </w:rPr>
            </w:pPr>
            <w:r>
              <w:rPr>
                <w:rFonts w:hint="eastAsia" w:ascii="仿宋" w:hAnsi="仿宋" w:eastAsia="仿宋" w:cs="仿宋"/>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spacing w:line="360" w:lineRule="auto"/>
              <w:rPr>
                <w:rFonts w:ascii="仿宋" w:hAnsi="仿宋" w:eastAsia="仿宋" w:cs="仿宋"/>
                <w:szCs w:val="21"/>
              </w:rPr>
            </w:pPr>
            <w:r>
              <w:rPr>
                <w:rFonts w:hint="eastAsia" w:ascii="仿宋" w:hAnsi="仿宋" w:eastAsia="仿宋" w:cs="仿宋"/>
                <w:szCs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spacing w:line="360" w:lineRule="auto"/>
              <w:rPr>
                <w:rFonts w:ascii="仿宋" w:hAnsi="仿宋" w:eastAsia="仿宋" w:cs="仿宋"/>
                <w:szCs w:val="21"/>
              </w:rPr>
            </w:pPr>
            <w:r>
              <w:rPr>
                <w:rFonts w:hint="eastAsia" w:ascii="仿宋" w:hAnsi="仿宋" w:eastAsia="仿宋" w:cs="仿宋"/>
                <w:szCs w:val="21"/>
              </w:rPr>
              <w:t>1、报名单位进行报名时，必须对现场进行踏勘，采购方不统一组织场地踏勘。对本次竟谈文件不明之处务必向采购方进行书面咨询，采购方以书面形式答复质疑问题，未进行咨询的，则视为对本竟谈文件全面理解，并自愿遵照执行，届时，不得以资料不全等理由拒绝履行相关义务</w:t>
            </w:r>
          </w:p>
        </w:tc>
      </w:tr>
    </w:tbl>
    <w:p>
      <w:pPr>
        <w:spacing w:line="360" w:lineRule="auto"/>
        <w:jc w:val="center"/>
        <w:rPr>
          <w:rFonts w:ascii="仿宋" w:hAnsi="仿宋" w:eastAsia="仿宋" w:cs="仿宋"/>
          <w:szCs w:val="21"/>
        </w:rPr>
      </w:pPr>
    </w:p>
    <w:p>
      <w:pPr>
        <w:pStyle w:val="2"/>
        <w:spacing w:before="0" w:after="0" w:line="360" w:lineRule="auto"/>
        <w:rPr>
          <w:rFonts w:ascii="仿宋" w:hAnsi="仿宋" w:eastAsia="仿宋" w:cs="仿宋"/>
          <w:sz w:val="21"/>
          <w:szCs w:val="21"/>
        </w:rPr>
      </w:pPr>
      <w:r>
        <w:rPr>
          <w:rFonts w:hint="eastAsia" w:ascii="仿宋" w:hAnsi="仿宋" w:eastAsia="仿宋" w:cs="仿宋"/>
          <w:sz w:val="21"/>
          <w:szCs w:val="21"/>
        </w:rPr>
        <w:br w:type="page"/>
      </w:r>
      <w:bookmarkStart w:id="7" w:name="_Toc380479087"/>
      <w:r>
        <w:rPr>
          <w:rFonts w:hint="eastAsia" w:ascii="仿宋" w:hAnsi="仿宋" w:eastAsia="仿宋" w:cs="仿宋"/>
          <w:sz w:val="21"/>
          <w:szCs w:val="21"/>
        </w:rPr>
        <w:t>一  总 则</w:t>
      </w:r>
      <w:bookmarkEnd w:id="7"/>
    </w:p>
    <w:p>
      <w:pPr>
        <w:pStyle w:val="2"/>
        <w:spacing w:before="0" w:after="0" w:line="360" w:lineRule="auto"/>
        <w:jc w:val="left"/>
        <w:rPr>
          <w:rFonts w:ascii="仿宋" w:hAnsi="仿宋" w:eastAsia="仿宋" w:cs="仿宋"/>
          <w:sz w:val="21"/>
          <w:szCs w:val="21"/>
        </w:rPr>
      </w:pPr>
      <w:bookmarkStart w:id="8" w:name="_Toc380479088"/>
      <w:r>
        <w:rPr>
          <w:rFonts w:hint="eastAsia" w:ascii="仿宋" w:hAnsi="仿宋" w:eastAsia="仿宋" w:cs="仿宋"/>
          <w:sz w:val="21"/>
          <w:szCs w:val="21"/>
        </w:rPr>
        <w:t>1．项目简介</w:t>
      </w:r>
      <w:bookmarkEnd w:id="8"/>
    </w:p>
    <w:p>
      <w:pPr>
        <w:spacing w:line="360" w:lineRule="auto"/>
        <w:ind w:firstLine="315" w:firstLineChars="150"/>
        <w:rPr>
          <w:rFonts w:ascii="仿宋" w:hAnsi="仿宋" w:eastAsia="仿宋" w:cs="仿宋"/>
          <w:color w:val="000000"/>
          <w:kern w:val="0"/>
          <w:szCs w:val="21"/>
        </w:rPr>
      </w:pPr>
      <w:r>
        <w:rPr>
          <w:rFonts w:hint="eastAsia" w:ascii="仿宋" w:hAnsi="仿宋" w:eastAsia="仿宋" w:cs="仿宋"/>
          <w:color w:val="000000"/>
          <w:kern w:val="0"/>
          <w:szCs w:val="21"/>
        </w:rPr>
        <w:t>我院是中国地震局直属的高等院校，地处河北省三河市燕郊经济技术开发区，因学院发展需要，拟对以下项目进行采购，具体如下：</w:t>
      </w:r>
    </w:p>
    <w:p>
      <w:pPr>
        <w:spacing w:line="360" w:lineRule="auto"/>
        <w:ind w:firstLine="420" w:firstLineChars="200"/>
        <w:rPr>
          <w:rFonts w:ascii="仿宋" w:hAnsi="仿宋" w:eastAsia="仿宋" w:cs="仿宋"/>
          <w:b/>
          <w:color w:val="000000"/>
          <w:kern w:val="0"/>
          <w:szCs w:val="21"/>
        </w:rPr>
      </w:pPr>
      <w:r>
        <w:rPr>
          <w:rFonts w:hint="eastAsia" w:ascii="仿宋" w:hAnsi="仿宋" w:eastAsia="仿宋" w:cs="仿宋"/>
          <w:b/>
          <w:color w:val="000000"/>
          <w:kern w:val="0"/>
          <w:szCs w:val="21"/>
        </w:rPr>
        <w:t>（一）项目概况</w:t>
      </w:r>
    </w:p>
    <w:p>
      <w:pPr>
        <w:spacing w:line="360" w:lineRule="auto"/>
        <w:ind w:firstLine="420" w:firstLineChars="200"/>
        <w:rPr>
          <w:rFonts w:ascii="仿宋" w:hAnsi="仿宋" w:eastAsia="仿宋" w:cs="仿宋"/>
          <w:b/>
          <w:color w:val="000000"/>
          <w:kern w:val="0"/>
          <w:szCs w:val="21"/>
        </w:rPr>
      </w:pPr>
      <w:r>
        <w:rPr>
          <w:rFonts w:hint="eastAsia" w:ascii="仿宋" w:hAnsi="仿宋" w:eastAsia="仿宋" w:cs="仿宋"/>
          <w:color w:val="000000"/>
          <w:kern w:val="0"/>
          <w:szCs w:val="21"/>
        </w:rPr>
        <w:t>我院为进行天仪楼室内公共区域空间文化建设，拟采购关山月作品高仿真复制画2幅，复制《美国国家地理125周年》图片150张，装裱后悬挂于天仪楼室内公共区域。</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（一）项目地点</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河北省三河市燕郊经济技术开发区防灾科技学院北区天仪楼</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（二）项目预算</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本项目预算为人民币20万元整，报价超过本预算的响应文件将导致被直接拒绝。</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（二）采购主要内容：</w:t>
      </w:r>
    </w:p>
    <w:tbl>
      <w:tblPr>
        <w:tblStyle w:val="49"/>
        <w:tblW w:w="9401" w:type="dxa"/>
        <w:tblInd w:w="0" w:type="dxa"/>
        <w:tblLayout w:type="fixed"/>
        <w:tblCellMar>
          <w:top w:w="0" w:type="dxa"/>
          <w:left w:w="108" w:type="dxa"/>
          <w:bottom w:w="0" w:type="dxa"/>
          <w:right w:w="108" w:type="dxa"/>
        </w:tblCellMar>
      </w:tblPr>
      <w:tblGrid>
        <w:gridCol w:w="1904"/>
        <w:gridCol w:w="1180"/>
        <w:gridCol w:w="1277"/>
        <w:gridCol w:w="1277"/>
        <w:gridCol w:w="1416"/>
        <w:gridCol w:w="1418"/>
        <w:gridCol w:w="929"/>
      </w:tblGrid>
      <w:tr>
        <w:tblPrEx>
          <w:tblLayout w:type="fixed"/>
          <w:tblCellMar>
            <w:top w:w="0" w:type="dxa"/>
            <w:left w:w="108" w:type="dxa"/>
            <w:bottom w:w="0" w:type="dxa"/>
            <w:right w:w="108" w:type="dxa"/>
          </w:tblCellMar>
        </w:tblPrEx>
        <w:trPr>
          <w:trHeight w:val="285" w:hRule="atLeast"/>
        </w:trPr>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作品名称</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画芯尺寸（cm）</w:t>
            </w:r>
          </w:p>
        </w:tc>
        <w:tc>
          <w:tcPr>
            <w:tcW w:w="127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画框尺寸（cm）</w:t>
            </w:r>
          </w:p>
        </w:tc>
        <w:tc>
          <w:tcPr>
            <w:tcW w:w="127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画芯材质</w:t>
            </w:r>
          </w:p>
        </w:tc>
        <w:tc>
          <w:tcPr>
            <w:tcW w:w="1416"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画框材质</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龙骨及背板</w:t>
            </w:r>
          </w:p>
        </w:tc>
        <w:tc>
          <w:tcPr>
            <w:tcW w:w="929"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数量</w:t>
            </w:r>
          </w:p>
        </w:tc>
      </w:tr>
      <w:tr>
        <w:tblPrEx>
          <w:tblLayout w:type="fixed"/>
          <w:tblCellMar>
            <w:top w:w="0" w:type="dxa"/>
            <w:left w:w="108" w:type="dxa"/>
            <w:bottom w:w="0" w:type="dxa"/>
            <w:right w:w="108" w:type="dxa"/>
          </w:tblCellMar>
        </w:tblPrEx>
        <w:trPr>
          <w:trHeight w:val="285"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长城内外尽朝晖</w:t>
            </w:r>
          </w:p>
        </w:tc>
        <w:tc>
          <w:tcPr>
            <w:tcW w:w="1180"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143x220</w:t>
            </w:r>
          </w:p>
        </w:tc>
        <w:tc>
          <w:tcPr>
            <w:tcW w:w="1277"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183x280</w:t>
            </w:r>
          </w:p>
        </w:tc>
        <w:tc>
          <w:tcPr>
            <w:tcW w:w="1277"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雅宣裱褙</w:t>
            </w:r>
          </w:p>
        </w:tc>
        <w:tc>
          <w:tcPr>
            <w:tcW w:w="1416"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宽4cm厚4.5cm榆木</w:t>
            </w: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3cm松木龙骨/3cm松木背板</w:t>
            </w:r>
          </w:p>
        </w:tc>
        <w:tc>
          <w:tcPr>
            <w:tcW w:w="929"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r>
      <w:tr>
        <w:tblPrEx>
          <w:tblLayout w:type="fixed"/>
          <w:tblCellMar>
            <w:top w:w="0" w:type="dxa"/>
            <w:left w:w="108" w:type="dxa"/>
            <w:bottom w:w="0" w:type="dxa"/>
            <w:right w:w="108" w:type="dxa"/>
          </w:tblCellMar>
        </w:tblPrEx>
        <w:trPr>
          <w:trHeight w:val="285"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九十年代第一春</w:t>
            </w:r>
          </w:p>
        </w:tc>
        <w:tc>
          <w:tcPr>
            <w:tcW w:w="1180"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169x288</w:t>
            </w:r>
          </w:p>
        </w:tc>
        <w:tc>
          <w:tcPr>
            <w:tcW w:w="1277"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209x348</w:t>
            </w:r>
          </w:p>
        </w:tc>
        <w:tc>
          <w:tcPr>
            <w:tcW w:w="1277"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雅宣裱褙</w:t>
            </w:r>
          </w:p>
        </w:tc>
        <w:tc>
          <w:tcPr>
            <w:tcW w:w="1416"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宽4cm厚4.5cm榆木</w:t>
            </w: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3cm松木龙骨/3cm松木背板</w:t>
            </w:r>
          </w:p>
        </w:tc>
        <w:tc>
          <w:tcPr>
            <w:tcW w:w="929"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r>
      <w:tr>
        <w:tblPrEx>
          <w:tblLayout w:type="fixed"/>
          <w:tblCellMar>
            <w:top w:w="0" w:type="dxa"/>
            <w:left w:w="108" w:type="dxa"/>
            <w:bottom w:w="0" w:type="dxa"/>
            <w:right w:w="108" w:type="dxa"/>
          </w:tblCellMar>
        </w:tblPrEx>
        <w:trPr>
          <w:trHeight w:val="285"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国家地理125周年图片</w:t>
            </w:r>
          </w:p>
        </w:tc>
        <w:tc>
          <w:tcPr>
            <w:tcW w:w="1180"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48x33</w:t>
            </w:r>
          </w:p>
        </w:tc>
        <w:tc>
          <w:tcPr>
            <w:tcW w:w="1277"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60x45</w:t>
            </w:r>
          </w:p>
        </w:tc>
        <w:tc>
          <w:tcPr>
            <w:tcW w:w="1277"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Innova IFA27相纸</w:t>
            </w:r>
          </w:p>
        </w:tc>
        <w:tc>
          <w:tcPr>
            <w:tcW w:w="1416"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宽1.5cm厚3.5cm白蜡木</w:t>
            </w:r>
          </w:p>
        </w:tc>
        <w:tc>
          <w:tcPr>
            <w:tcW w:w="1418"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无龙骨/3mm合成木背板</w:t>
            </w:r>
          </w:p>
        </w:tc>
        <w:tc>
          <w:tcPr>
            <w:tcW w:w="929" w:type="dxa"/>
            <w:tcBorders>
              <w:top w:val="nil"/>
              <w:left w:val="nil"/>
              <w:bottom w:val="single" w:color="auto" w:sz="4" w:space="0"/>
              <w:right w:val="single" w:color="auto" w:sz="4" w:space="0"/>
            </w:tcBorders>
            <w:shd w:val="clear" w:color="auto" w:fill="auto"/>
            <w:noWrap/>
            <w:vAlign w:val="center"/>
          </w:tcPr>
          <w:p>
            <w:pPr>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150</w:t>
            </w:r>
          </w:p>
        </w:tc>
      </w:tr>
    </w:tbl>
    <w:p>
      <w:pPr>
        <w:spacing w:line="360" w:lineRule="auto"/>
        <w:ind w:firstLine="420" w:firstLineChars="200"/>
        <w:rPr>
          <w:rFonts w:hint="eastAsia" w:ascii="仿宋" w:hAnsi="仿宋" w:eastAsia="仿宋" w:cs="仿宋"/>
          <w:color w:val="000000"/>
          <w:kern w:val="0"/>
          <w:szCs w:val="21"/>
        </w:rPr>
      </w:pPr>
    </w:p>
    <w:p>
      <w:pPr>
        <w:spacing w:line="360" w:lineRule="auto"/>
        <w:rPr>
          <w:rFonts w:hint="eastAsia" w:ascii="仿宋" w:hAnsi="仿宋" w:eastAsia="仿宋" w:cs="仿宋"/>
          <w:color w:val="000000"/>
          <w:kern w:val="0"/>
          <w:szCs w:val="21"/>
        </w:rPr>
      </w:pPr>
      <w:bookmarkStart w:id="9" w:name="_Toc380479089"/>
      <w:r>
        <w:rPr>
          <w:rFonts w:hint="eastAsia" w:ascii="仿宋" w:hAnsi="仿宋" w:eastAsia="仿宋" w:cs="仿宋"/>
          <w:color w:val="000000"/>
          <w:kern w:val="0"/>
          <w:szCs w:val="21"/>
        </w:rPr>
        <w:t>2．合格供应商资格条件</w:t>
      </w:r>
      <w:bookmarkEnd w:id="9"/>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2.1 满足以下条件的供应商是合格的谈判供应商，可以参加本次竞争性谈判：</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（1）在中华人民共和国境内注册，能够独立承担民事责任，有生产或供应能力的本国供应商，包括企业法人、其他组织、自然人或者联合体。</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（2）具备《中华人民共和国政府采购法》第二十二条关于供应商条件的规定，具备其它法规规定的本项目供应商应当具备的资格条件。遵守国家有关法规和政府采购的有关规定。</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（3）从招标方正式获得了本项目的竞争性谈判文件。</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（4）符合</w:t>
      </w:r>
      <w:r>
        <w:rPr>
          <w:rFonts w:hint="eastAsia" w:ascii="仿宋" w:hAnsi="仿宋" w:eastAsia="仿宋" w:cs="仿宋"/>
          <w:sz w:val="21"/>
          <w:szCs w:val="21"/>
          <w:u w:val="single"/>
        </w:rPr>
        <w:t>前附表</w:t>
      </w:r>
      <w:r>
        <w:rPr>
          <w:rFonts w:hint="eastAsia" w:ascii="仿宋" w:hAnsi="仿宋" w:eastAsia="仿宋" w:cs="仿宋"/>
          <w:sz w:val="21"/>
          <w:szCs w:val="21"/>
        </w:rPr>
        <w:t>中规定的其他要求。</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（5）若</w:t>
      </w:r>
      <w:r>
        <w:rPr>
          <w:rFonts w:hint="eastAsia" w:ascii="仿宋" w:hAnsi="仿宋" w:eastAsia="仿宋" w:cs="仿宋"/>
          <w:sz w:val="21"/>
          <w:szCs w:val="21"/>
          <w:u w:val="single"/>
        </w:rPr>
        <w:t>前附表</w:t>
      </w:r>
      <w:r>
        <w:rPr>
          <w:rFonts w:hint="eastAsia" w:ascii="仿宋" w:hAnsi="仿宋" w:eastAsia="仿宋" w:cs="仿宋"/>
          <w:sz w:val="21"/>
          <w:szCs w:val="21"/>
        </w:rPr>
        <w:t>中写明专门面向中小企业采购的，如供应商所报服务为非中小企业提供，其响应文件将作为无效文件被拒绝。</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 xml:space="preserve">2.2 </w:t>
      </w:r>
      <w:r>
        <w:rPr>
          <w:rFonts w:hint="eastAsia" w:ascii="仿宋" w:hAnsi="仿宋" w:eastAsia="仿宋" w:cs="仿宋"/>
          <w:sz w:val="21"/>
          <w:szCs w:val="21"/>
          <w:u w:val="single"/>
        </w:rPr>
        <w:t>前附表</w:t>
      </w:r>
      <w:r>
        <w:rPr>
          <w:rFonts w:hint="eastAsia" w:ascii="仿宋" w:hAnsi="仿宋" w:eastAsia="仿宋" w:cs="仿宋"/>
          <w:sz w:val="21"/>
          <w:szCs w:val="21"/>
        </w:rPr>
        <w:t>中是否允许联合体参加谈判。</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2.3如允许联合体参加谈判，对联合体的要求见</w:t>
      </w:r>
      <w:r>
        <w:rPr>
          <w:rFonts w:hint="eastAsia" w:ascii="仿宋" w:hAnsi="仿宋" w:eastAsia="仿宋" w:cs="仿宋"/>
          <w:sz w:val="21"/>
          <w:szCs w:val="21"/>
          <w:u w:val="single"/>
        </w:rPr>
        <w:t>前附表</w:t>
      </w:r>
      <w:r>
        <w:rPr>
          <w:rFonts w:hint="eastAsia" w:ascii="仿宋" w:hAnsi="仿宋" w:eastAsia="仿宋" w:cs="仿宋"/>
          <w:sz w:val="21"/>
          <w:szCs w:val="21"/>
        </w:rPr>
        <w:t>。</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单位负责人为同一人或者存在直接控股、管理关系的不同供应商，不得参加同一合同项下的政府采购活动。</w:t>
      </w:r>
    </w:p>
    <w:p>
      <w:pPr>
        <w:pStyle w:val="2"/>
        <w:spacing w:before="0" w:after="0" w:line="360" w:lineRule="auto"/>
        <w:jc w:val="left"/>
        <w:rPr>
          <w:rFonts w:ascii="仿宋" w:hAnsi="仿宋" w:eastAsia="仿宋" w:cs="仿宋"/>
          <w:sz w:val="21"/>
          <w:szCs w:val="21"/>
        </w:rPr>
      </w:pPr>
      <w:bookmarkStart w:id="10" w:name="_Toc380479090"/>
      <w:r>
        <w:rPr>
          <w:rFonts w:hint="eastAsia" w:ascii="仿宋" w:hAnsi="仿宋" w:eastAsia="仿宋" w:cs="仿宋"/>
          <w:sz w:val="21"/>
          <w:szCs w:val="21"/>
        </w:rPr>
        <w:t>3．适用法律和谈判费用</w:t>
      </w:r>
      <w:bookmarkEnd w:id="10"/>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3.1 本次采购活动及由此产生的合同受《中华人民共和国政府采购法》及其他有关的法律法规制约和保护。</w:t>
      </w:r>
    </w:p>
    <w:p>
      <w:pPr>
        <w:pStyle w:val="17"/>
        <w:spacing w:line="360" w:lineRule="auto"/>
        <w:ind w:firstLine="0"/>
        <w:rPr>
          <w:rFonts w:ascii="仿宋" w:hAnsi="仿宋" w:eastAsia="仿宋" w:cs="仿宋"/>
          <w:sz w:val="21"/>
          <w:szCs w:val="21"/>
        </w:rPr>
      </w:pPr>
      <w:r>
        <w:rPr>
          <w:rFonts w:hint="eastAsia" w:ascii="仿宋" w:hAnsi="仿宋" w:eastAsia="仿宋" w:cs="仿宋"/>
          <w:sz w:val="21"/>
          <w:szCs w:val="21"/>
        </w:rPr>
        <w:t>3.2 谈判供应商应承担自身所有与谈判活动有关的费用，不论谈判的结果如何，在任何情况下谈判组织者均无义务和责任承担这些费用。</w:t>
      </w:r>
    </w:p>
    <w:p>
      <w:pPr>
        <w:pStyle w:val="17"/>
        <w:spacing w:line="360" w:lineRule="auto"/>
        <w:rPr>
          <w:rFonts w:ascii="仿宋" w:hAnsi="仿宋" w:eastAsia="仿宋" w:cs="仿宋"/>
          <w:sz w:val="21"/>
          <w:szCs w:val="21"/>
        </w:rPr>
      </w:pPr>
    </w:p>
    <w:p>
      <w:pPr>
        <w:pStyle w:val="2"/>
        <w:spacing w:before="0" w:after="0" w:line="360" w:lineRule="auto"/>
        <w:rPr>
          <w:rFonts w:ascii="仿宋" w:hAnsi="仿宋" w:eastAsia="仿宋" w:cs="仿宋"/>
          <w:sz w:val="21"/>
          <w:szCs w:val="21"/>
        </w:rPr>
      </w:pPr>
      <w:bookmarkStart w:id="11" w:name="_Toc380479091"/>
      <w:r>
        <w:rPr>
          <w:rFonts w:hint="eastAsia" w:ascii="仿宋" w:hAnsi="仿宋" w:eastAsia="仿宋" w:cs="仿宋"/>
          <w:sz w:val="21"/>
          <w:szCs w:val="21"/>
        </w:rPr>
        <w:t>二  谈判文件</w:t>
      </w:r>
      <w:bookmarkEnd w:id="11"/>
    </w:p>
    <w:p>
      <w:pPr>
        <w:pStyle w:val="2"/>
        <w:spacing w:before="0" w:after="0" w:line="360" w:lineRule="auto"/>
        <w:jc w:val="left"/>
        <w:rPr>
          <w:rFonts w:ascii="仿宋" w:hAnsi="仿宋" w:eastAsia="仿宋" w:cs="仿宋"/>
          <w:sz w:val="21"/>
          <w:szCs w:val="21"/>
        </w:rPr>
      </w:pPr>
      <w:bookmarkStart w:id="12" w:name="_Toc380479092"/>
      <w:r>
        <w:rPr>
          <w:rFonts w:hint="eastAsia" w:ascii="仿宋" w:hAnsi="仿宋" w:eastAsia="仿宋" w:cs="仿宋"/>
          <w:sz w:val="21"/>
          <w:szCs w:val="21"/>
        </w:rPr>
        <w:t>4．谈判文件构成</w:t>
      </w:r>
      <w:bookmarkEnd w:id="12"/>
    </w:p>
    <w:p>
      <w:pPr>
        <w:spacing w:line="360" w:lineRule="auto"/>
        <w:rPr>
          <w:rFonts w:ascii="仿宋" w:hAnsi="仿宋" w:eastAsia="仿宋" w:cs="仿宋"/>
          <w:b/>
          <w:szCs w:val="21"/>
        </w:rPr>
      </w:pPr>
      <w:r>
        <w:rPr>
          <w:rFonts w:hint="eastAsia" w:ascii="仿宋" w:hAnsi="仿宋" w:eastAsia="仿宋" w:cs="仿宋"/>
          <w:bCs/>
          <w:szCs w:val="21"/>
        </w:rPr>
        <w:t xml:space="preserve">4.1 </w:t>
      </w:r>
      <w:r>
        <w:rPr>
          <w:rFonts w:hint="eastAsia" w:ascii="仿宋" w:hAnsi="仿宋" w:eastAsia="仿宋" w:cs="仿宋"/>
          <w:szCs w:val="21"/>
        </w:rPr>
        <w:t>谈判文件包括：采购邀请（含采购公告）、谈判供应商须知、采购需求、附件。</w:t>
      </w:r>
    </w:p>
    <w:p>
      <w:pPr>
        <w:spacing w:line="360" w:lineRule="auto"/>
        <w:rPr>
          <w:rFonts w:ascii="仿宋" w:hAnsi="仿宋" w:eastAsia="仿宋" w:cs="仿宋"/>
          <w:b/>
          <w:szCs w:val="21"/>
        </w:rPr>
      </w:pPr>
      <w:r>
        <w:rPr>
          <w:rFonts w:hint="eastAsia" w:ascii="仿宋" w:hAnsi="仿宋" w:eastAsia="仿宋" w:cs="仿宋"/>
          <w:bCs/>
          <w:szCs w:val="21"/>
        </w:rPr>
        <w:t xml:space="preserve">4.2 </w:t>
      </w:r>
      <w:r>
        <w:rPr>
          <w:rFonts w:hint="eastAsia" w:ascii="仿宋" w:hAnsi="仿宋" w:eastAsia="仿宋" w:cs="仿宋"/>
          <w:szCs w:val="21"/>
        </w:rPr>
        <w:t>谈判供应商应认真阅读谈判文件中各有关事项、格式、条款和规范等，按要求编制响应文件，并对其提交的响应文件的真实性、合法性承担法律责任。如果谈判供应商没有按照谈判文件的要求对谈判文件做出实质性响应，该响应文件将有可能被拒绝。</w:t>
      </w:r>
    </w:p>
    <w:p>
      <w:pPr>
        <w:pStyle w:val="2"/>
        <w:spacing w:before="0" w:after="0" w:line="360" w:lineRule="auto"/>
        <w:jc w:val="left"/>
        <w:rPr>
          <w:rFonts w:ascii="仿宋" w:hAnsi="仿宋" w:eastAsia="仿宋" w:cs="仿宋"/>
          <w:sz w:val="21"/>
          <w:szCs w:val="21"/>
        </w:rPr>
      </w:pPr>
      <w:bookmarkStart w:id="13" w:name="_Toc380479093"/>
      <w:r>
        <w:rPr>
          <w:rFonts w:hint="eastAsia" w:ascii="仿宋" w:hAnsi="仿宋" w:eastAsia="仿宋" w:cs="仿宋"/>
          <w:sz w:val="21"/>
          <w:szCs w:val="21"/>
        </w:rPr>
        <w:t>5．谈判文件的澄清或者修改</w:t>
      </w:r>
      <w:bookmarkEnd w:id="13"/>
    </w:p>
    <w:p>
      <w:pPr>
        <w:spacing w:line="360" w:lineRule="auto"/>
        <w:rPr>
          <w:rFonts w:ascii="仿宋" w:hAnsi="仿宋" w:eastAsia="仿宋" w:cs="仿宋"/>
          <w:b/>
          <w:szCs w:val="21"/>
        </w:rPr>
      </w:pPr>
      <w:r>
        <w:rPr>
          <w:rFonts w:hint="eastAsia" w:ascii="仿宋" w:hAnsi="仿宋" w:eastAsia="仿宋" w:cs="仿宋"/>
          <w:szCs w:val="21"/>
        </w:rPr>
        <w:t>5.1 在首次提交响应文件截止时间前，</w:t>
      </w:r>
      <w:r>
        <w:rPr>
          <w:rFonts w:hint="eastAsia" w:ascii="仿宋" w:hAnsi="仿宋" w:eastAsia="仿宋" w:cs="仿宋"/>
          <w:kern w:val="0"/>
          <w:szCs w:val="21"/>
        </w:rPr>
        <w:t>采购人、招标方或者谈判小组可以对已发出的谈判文件进行必要的澄清或者修改，并由招标方发出。澄清或者修改的内容作为谈判文件的组成部分。</w:t>
      </w:r>
      <w:r>
        <w:rPr>
          <w:rFonts w:hint="eastAsia" w:ascii="仿宋" w:hAnsi="仿宋" w:eastAsia="仿宋" w:cs="仿宋"/>
          <w:szCs w:val="21"/>
        </w:rPr>
        <w:t>对谈判文件的修改，将以书面形式通知已获取谈判文件的每一谈判供应商。</w:t>
      </w:r>
    </w:p>
    <w:p>
      <w:pPr>
        <w:spacing w:line="360" w:lineRule="auto"/>
        <w:rPr>
          <w:rFonts w:ascii="仿宋" w:hAnsi="仿宋" w:eastAsia="仿宋" w:cs="仿宋"/>
          <w:szCs w:val="21"/>
        </w:rPr>
      </w:pPr>
      <w:r>
        <w:rPr>
          <w:rFonts w:hint="eastAsia" w:ascii="仿宋" w:hAnsi="仿宋" w:eastAsia="仿宋" w:cs="仿宋"/>
          <w:szCs w:val="21"/>
        </w:rPr>
        <w:t>5.2 澄清或者修改的内容可能影响响应文件编制的，招标方将在提交首次响应文件截止之日3个工作日前通知，不足3个工作日的，将相应顺延提交首次响应文件截止时间。</w:t>
      </w:r>
    </w:p>
    <w:p>
      <w:pPr>
        <w:spacing w:line="360" w:lineRule="auto"/>
        <w:rPr>
          <w:rFonts w:ascii="仿宋" w:hAnsi="仿宋" w:eastAsia="仿宋" w:cs="仿宋"/>
          <w:szCs w:val="21"/>
        </w:rPr>
      </w:pPr>
      <w:r>
        <w:rPr>
          <w:rFonts w:hint="eastAsia" w:ascii="仿宋" w:hAnsi="仿宋" w:eastAsia="仿宋" w:cs="仿宋"/>
          <w:szCs w:val="21"/>
        </w:rPr>
        <w:t>5.3 在谈判过程中，谈判小组根据与供应商谈判情况，可能对采购需求中的技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spacing w:line="360" w:lineRule="auto"/>
        <w:ind w:firstLine="420" w:firstLineChars="200"/>
        <w:rPr>
          <w:rFonts w:ascii="仿宋" w:hAnsi="仿宋" w:eastAsia="仿宋" w:cs="仿宋"/>
          <w:b/>
          <w:szCs w:val="21"/>
        </w:rPr>
      </w:pPr>
    </w:p>
    <w:p>
      <w:pPr>
        <w:pStyle w:val="2"/>
        <w:spacing w:before="0" w:after="0" w:line="360" w:lineRule="auto"/>
        <w:rPr>
          <w:rFonts w:ascii="仿宋" w:hAnsi="仿宋" w:eastAsia="仿宋" w:cs="仿宋"/>
          <w:sz w:val="21"/>
          <w:szCs w:val="21"/>
        </w:rPr>
      </w:pPr>
      <w:bookmarkStart w:id="14" w:name="_Toc380479094"/>
      <w:r>
        <w:rPr>
          <w:rFonts w:hint="eastAsia" w:ascii="仿宋" w:hAnsi="仿宋" w:eastAsia="仿宋" w:cs="仿宋"/>
          <w:sz w:val="21"/>
          <w:szCs w:val="21"/>
        </w:rPr>
        <w:t>三  响应文件的编制</w:t>
      </w:r>
      <w:bookmarkEnd w:id="14"/>
    </w:p>
    <w:p>
      <w:pPr>
        <w:pStyle w:val="2"/>
        <w:spacing w:before="0" w:after="0" w:line="360" w:lineRule="auto"/>
        <w:jc w:val="left"/>
        <w:rPr>
          <w:rFonts w:ascii="仿宋" w:hAnsi="仿宋" w:eastAsia="仿宋" w:cs="仿宋"/>
          <w:sz w:val="21"/>
          <w:szCs w:val="21"/>
        </w:rPr>
      </w:pPr>
      <w:bookmarkStart w:id="15" w:name="_Toc380479095"/>
      <w:r>
        <w:rPr>
          <w:rFonts w:hint="eastAsia" w:ascii="仿宋" w:hAnsi="仿宋" w:eastAsia="仿宋" w:cs="仿宋"/>
          <w:sz w:val="21"/>
          <w:szCs w:val="21"/>
        </w:rPr>
        <w:t>6．响应文件的构成</w:t>
      </w:r>
      <w:bookmarkEnd w:id="15"/>
    </w:p>
    <w:p>
      <w:pPr>
        <w:pStyle w:val="22"/>
        <w:spacing w:line="360" w:lineRule="auto"/>
        <w:rPr>
          <w:rFonts w:ascii="仿宋" w:hAnsi="仿宋" w:eastAsia="仿宋" w:cs="仿宋"/>
          <w:sz w:val="21"/>
          <w:szCs w:val="21"/>
        </w:rPr>
      </w:pPr>
      <w:r>
        <w:rPr>
          <w:rFonts w:hint="eastAsia" w:ascii="仿宋" w:hAnsi="仿宋" w:eastAsia="仿宋" w:cs="仿宋"/>
          <w:sz w:val="21"/>
          <w:szCs w:val="21"/>
        </w:rPr>
        <w:t>6.1 按照谈判文件的要求，谈判供应商首次编制的响应文件具体构成如下：</w:t>
      </w:r>
    </w:p>
    <w:p>
      <w:pPr>
        <w:spacing w:line="360" w:lineRule="auto"/>
        <w:rPr>
          <w:rFonts w:ascii="仿宋" w:hAnsi="仿宋" w:eastAsia="仿宋" w:cs="仿宋"/>
          <w:szCs w:val="21"/>
        </w:rPr>
      </w:pPr>
      <w:r>
        <w:rPr>
          <w:rFonts w:hint="eastAsia" w:ascii="仿宋" w:hAnsi="仿宋" w:eastAsia="仿宋" w:cs="仿宋"/>
          <w:szCs w:val="21"/>
        </w:rPr>
        <w:t>（1）报价函；</w:t>
      </w:r>
    </w:p>
    <w:p>
      <w:pPr>
        <w:spacing w:line="360" w:lineRule="auto"/>
        <w:rPr>
          <w:rFonts w:ascii="仿宋" w:hAnsi="仿宋" w:eastAsia="仿宋" w:cs="仿宋"/>
          <w:szCs w:val="21"/>
        </w:rPr>
      </w:pPr>
      <w:r>
        <w:rPr>
          <w:rFonts w:hint="eastAsia" w:ascii="仿宋" w:hAnsi="仿宋" w:eastAsia="仿宋" w:cs="仿宋"/>
          <w:szCs w:val="21"/>
        </w:rPr>
        <w:t>（2）参考报价表；</w:t>
      </w:r>
    </w:p>
    <w:p>
      <w:pPr>
        <w:spacing w:line="360" w:lineRule="auto"/>
        <w:rPr>
          <w:rFonts w:ascii="仿宋" w:hAnsi="仿宋" w:eastAsia="仿宋" w:cs="仿宋"/>
          <w:szCs w:val="21"/>
        </w:rPr>
      </w:pPr>
      <w:r>
        <w:rPr>
          <w:rFonts w:hint="eastAsia" w:ascii="仿宋" w:hAnsi="仿宋" w:eastAsia="仿宋" w:cs="仿宋"/>
          <w:szCs w:val="21"/>
        </w:rPr>
        <w:t>（3）采购需求响应方案：见</w:t>
      </w:r>
      <w:r>
        <w:rPr>
          <w:rFonts w:hint="eastAsia" w:ascii="仿宋" w:hAnsi="仿宋" w:eastAsia="仿宋" w:cs="仿宋"/>
          <w:szCs w:val="21"/>
          <w:u w:val="single"/>
        </w:rPr>
        <w:t>前附表</w:t>
      </w:r>
      <w:r>
        <w:rPr>
          <w:rFonts w:hint="eastAsia" w:ascii="仿宋" w:hAnsi="仿宋" w:eastAsia="仿宋" w:cs="仿宋"/>
          <w:szCs w:val="21"/>
        </w:rPr>
        <w:t>要求；</w:t>
      </w:r>
    </w:p>
    <w:p>
      <w:pPr>
        <w:spacing w:line="360" w:lineRule="auto"/>
        <w:rPr>
          <w:rFonts w:ascii="仿宋" w:hAnsi="仿宋" w:eastAsia="仿宋" w:cs="仿宋"/>
          <w:szCs w:val="21"/>
        </w:rPr>
      </w:pPr>
      <w:r>
        <w:rPr>
          <w:rFonts w:hint="eastAsia" w:ascii="仿宋" w:hAnsi="仿宋" w:eastAsia="仿宋" w:cs="仿宋"/>
          <w:szCs w:val="21"/>
        </w:rPr>
        <w:t>（4）合同条款应答表；</w:t>
      </w:r>
    </w:p>
    <w:p>
      <w:pPr>
        <w:spacing w:line="360" w:lineRule="auto"/>
        <w:rPr>
          <w:rFonts w:ascii="仿宋" w:hAnsi="仿宋" w:eastAsia="仿宋" w:cs="仿宋"/>
          <w:kern w:val="0"/>
          <w:szCs w:val="21"/>
        </w:rPr>
      </w:pPr>
      <w:r>
        <w:rPr>
          <w:rFonts w:hint="eastAsia" w:ascii="仿宋" w:hAnsi="仿宋" w:eastAsia="仿宋" w:cs="仿宋"/>
          <w:szCs w:val="21"/>
        </w:rPr>
        <w:t>（5）资格证明文件：见</w:t>
      </w:r>
      <w:r>
        <w:rPr>
          <w:rFonts w:hint="eastAsia" w:ascii="仿宋" w:hAnsi="仿宋" w:eastAsia="仿宋" w:cs="仿宋"/>
          <w:kern w:val="0"/>
          <w:szCs w:val="21"/>
          <w:u w:val="single"/>
        </w:rPr>
        <w:t>前附表</w:t>
      </w:r>
      <w:r>
        <w:rPr>
          <w:rFonts w:hint="eastAsia" w:ascii="仿宋" w:hAnsi="仿宋" w:eastAsia="仿宋" w:cs="仿宋"/>
          <w:kern w:val="0"/>
          <w:szCs w:val="21"/>
        </w:rPr>
        <w:t>要求；</w:t>
      </w:r>
    </w:p>
    <w:p>
      <w:pPr>
        <w:spacing w:line="360" w:lineRule="auto"/>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szCs w:val="21"/>
          <w:u w:val="single"/>
        </w:rPr>
        <w:t>前附表</w:t>
      </w:r>
      <w:r>
        <w:rPr>
          <w:rFonts w:hint="eastAsia" w:ascii="仿宋" w:hAnsi="仿宋" w:eastAsia="仿宋" w:cs="仿宋"/>
          <w:szCs w:val="21"/>
        </w:rPr>
        <w:t>要求的其他内容。</w:t>
      </w:r>
    </w:p>
    <w:p>
      <w:pPr>
        <w:spacing w:line="360" w:lineRule="auto"/>
        <w:ind w:firstLine="570"/>
        <w:rPr>
          <w:rFonts w:ascii="仿宋" w:hAnsi="仿宋" w:eastAsia="仿宋" w:cs="仿宋"/>
          <w:b/>
          <w:szCs w:val="21"/>
        </w:rPr>
      </w:pPr>
      <w:r>
        <w:rPr>
          <w:rFonts w:hint="eastAsia" w:ascii="仿宋" w:hAnsi="仿宋" w:eastAsia="仿宋" w:cs="仿宋"/>
          <w:b/>
          <w:szCs w:val="21"/>
        </w:rPr>
        <w:t xml:space="preserve">以上内容均为实质性要求，谈判供应商未按上述要求编写响应文件而造成内容不完整的，视为没有对谈判文件作出实质性响应，其响应文件按无效处理。 </w:t>
      </w:r>
    </w:p>
    <w:p>
      <w:pPr>
        <w:pStyle w:val="2"/>
        <w:spacing w:before="0" w:after="0" w:line="360" w:lineRule="auto"/>
        <w:jc w:val="left"/>
        <w:rPr>
          <w:rFonts w:ascii="仿宋" w:hAnsi="仿宋" w:eastAsia="仿宋" w:cs="仿宋"/>
          <w:sz w:val="21"/>
          <w:szCs w:val="21"/>
        </w:rPr>
      </w:pPr>
      <w:bookmarkStart w:id="16" w:name="_Toc380479096"/>
      <w:r>
        <w:rPr>
          <w:rFonts w:hint="eastAsia" w:ascii="仿宋" w:hAnsi="仿宋" w:eastAsia="仿宋" w:cs="仿宋"/>
          <w:sz w:val="21"/>
          <w:szCs w:val="21"/>
        </w:rPr>
        <w:t>7．报价</w:t>
      </w:r>
      <w:bookmarkEnd w:id="16"/>
    </w:p>
    <w:p>
      <w:pPr>
        <w:spacing w:line="360" w:lineRule="auto"/>
        <w:rPr>
          <w:rFonts w:ascii="仿宋" w:hAnsi="仿宋" w:eastAsia="仿宋" w:cs="仿宋"/>
          <w:szCs w:val="21"/>
        </w:rPr>
      </w:pPr>
      <w:r>
        <w:rPr>
          <w:rFonts w:hint="eastAsia" w:ascii="仿宋" w:hAnsi="仿宋" w:eastAsia="仿宋" w:cs="仿宋"/>
          <w:szCs w:val="21"/>
        </w:rPr>
        <w:t>7.1 在提交响应文件时，供应商要按照谈判文件给出的格式提供报价函和参考报价表；在谈判结束后，供应商按照谈判小组的要求及谈判文件给出的格式提供最后报价表。报价货币应为人民币。</w:t>
      </w:r>
    </w:p>
    <w:p>
      <w:pPr>
        <w:spacing w:line="360" w:lineRule="auto"/>
        <w:rPr>
          <w:rFonts w:ascii="仿宋" w:hAnsi="仿宋" w:eastAsia="仿宋" w:cs="仿宋"/>
          <w:szCs w:val="21"/>
        </w:rPr>
      </w:pPr>
      <w:r>
        <w:rPr>
          <w:rFonts w:hint="eastAsia" w:ascii="仿宋" w:hAnsi="仿宋" w:eastAsia="仿宋" w:cs="仿宋"/>
          <w:szCs w:val="21"/>
        </w:rPr>
        <w:t>7.2 每项服务内容只能有一个报价，不接受具有附加条件的报价，否则其响应文件将作为无效处理。</w:t>
      </w:r>
    </w:p>
    <w:p>
      <w:pPr>
        <w:pStyle w:val="2"/>
        <w:spacing w:before="0" w:after="0" w:line="360" w:lineRule="auto"/>
        <w:jc w:val="left"/>
        <w:rPr>
          <w:rFonts w:ascii="仿宋" w:hAnsi="仿宋" w:eastAsia="仿宋" w:cs="仿宋"/>
          <w:sz w:val="21"/>
          <w:szCs w:val="21"/>
        </w:rPr>
      </w:pPr>
      <w:bookmarkStart w:id="17" w:name="_Toc380479097"/>
      <w:r>
        <w:rPr>
          <w:rFonts w:hint="eastAsia" w:ascii="仿宋" w:hAnsi="仿宋" w:eastAsia="仿宋" w:cs="仿宋"/>
          <w:sz w:val="21"/>
          <w:szCs w:val="21"/>
        </w:rPr>
        <w:t>8. 响应文件有效期</w:t>
      </w:r>
      <w:bookmarkEnd w:id="17"/>
    </w:p>
    <w:p>
      <w:pPr>
        <w:spacing w:line="360" w:lineRule="auto"/>
        <w:rPr>
          <w:rFonts w:ascii="仿宋" w:hAnsi="仿宋" w:eastAsia="仿宋" w:cs="仿宋"/>
          <w:szCs w:val="21"/>
        </w:rPr>
      </w:pPr>
      <w:r>
        <w:rPr>
          <w:rFonts w:hint="eastAsia" w:ascii="仿宋" w:hAnsi="仿宋" w:eastAsia="仿宋" w:cs="仿宋"/>
          <w:szCs w:val="21"/>
        </w:rPr>
        <w:t>8.1 响应文件应自首次提交之日起，按照</w:t>
      </w:r>
      <w:r>
        <w:rPr>
          <w:rFonts w:hint="eastAsia" w:ascii="仿宋" w:hAnsi="仿宋" w:eastAsia="仿宋" w:cs="仿宋"/>
          <w:szCs w:val="21"/>
          <w:u w:val="single"/>
        </w:rPr>
        <w:t>前附表</w:t>
      </w:r>
      <w:r>
        <w:rPr>
          <w:rFonts w:hint="eastAsia" w:ascii="仿宋" w:hAnsi="仿宋" w:eastAsia="仿宋" w:cs="仿宋"/>
          <w:szCs w:val="21"/>
        </w:rPr>
        <w:t>中规定时间内保持有效，有效期短于要求的响应文件将按无效处理。</w:t>
      </w:r>
    </w:p>
    <w:p>
      <w:pPr>
        <w:spacing w:line="360" w:lineRule="auto"/>
        <w:rPr>
          <w:rFonts w:ascii="仿宋" w:hAnsi="仿宋" w:eastAsia="仿宋" w:cs="仿宋"/>
          <w:szCs w:val="21"/>
        </w:rPr>
      </w:pPr>
    </w:p>
    <w:p>
      <w:pPr>
        <w:pStyle w:val="2"/>
        <w:spacing w:before="0" w:after="0" w:line="360" w:lineRule="auto"/>
        <w:rPr>
          <w:rFonts w:ascii="仿宋" w:hAnsi="仿宋" w:eastAsia="仿宋" w:cs="仿宋"/>
          <w:b w:val="0"/>
          <w:sz w:val="21"/>
          <w:szCs w:val="21"/>
        </w:rPr>
      </w:pPr>
      <w:bookmarkStart w:id="18" w:name="_Toc380479098"/>
      <w:r>
        <w:rPr>
          <w:rFonts w:hint="eastAsia" w:ascii="仿宋" w:hAnsi="仿宋" w:eastAsia="仿宋" w:cs="仿宋"/>
          <w:sz w:val="21"/>
          <w:szCs w:val="21"/>
        </w:rPr>
        <w:t>四  响应文件的签署规定和递交</w:t>
      </w:r>
      <w:bookmarkEnd w:id="18"/>
    </w:p>
    <w:p>
      <w:pPr>
        <w:pStyle w:val="2"/>
        <w:spacing w:before="0" w:after="0" w:line="360" w:lineRule="auto"/>
        <w:jc w:val="left"/>
        <w:rPr>
          <w:rFonts w:ascii="仿宋" w:hAnsi="仿宋" w:eastAsia="仿宋" w:cs="仿宋"/>
          <w:sz w:val="21"/>
          <w:szCs w:val="21"/>
        </w:rPr>
      </w:pPr>
      <w:bookmarkStart w:id="19" w:name="_Toc380479099"/>
      <w:r>
        <w:rPr>
          <w:rFonts w:hint="eastAsia" w:ascii="仿宋" w:hAnsi="仿宋" w:eastAsia="仿宋" w:cs="仿宋"/>
          <w:sz w:val="21"/>
          <w:szCs w:val="21"/>
        </w:rPr>
        <w:t>9．响应文件签署及规定</w:t>
      </w:r>
      <w:bookmarkEnd w:id="19"/>
    </w:p>
    <w:p>
      <w:pPr>
        <w:tabs>
          <w:tab w:val="left" w:pos="995"/>
        </w:tabs>
        <w:spacing w:line="360" w:lineRule="auto"/>
        <w:rPr>
          <w:rFonts w:ascii="仿宋" w:hAnsi="仿宋" w:eastAsia="仿宋" w:cs="仿宋"/>
          <w:szCs w:val="21"/>
        </w:rPr>
      </w:pPr>
      <w:r>
        <w:rPr>
          <w:rFonts w:hint="eastAsia" w:ascii="仿宋" w:hAnsi="仿宋" w:eastAsia="仿宋" w:cs="仿宋"/>
          <w:szCs w:val="21"/>
        </w:rPr>
        <w:t>9.1 谈判供应商应按</w:t>
      </w:r>
      <w:r>
        <w:rPr>
          <w:rFonts w:hint="eastAsia" w:ascii="仿宋" w:hAnsi="仿宋" w:eastAsia="仿宋" w:cs="仿宋"/>
          <w:szCs w:val="21"/>
          <w:u w:val="single"/>
        </w:rPr>
        <w:t>前附表</w:t>
      </w:r>
      <w:r>
        <w:rPr>
          <w:rFonts w:hint="eastAsia" w:ascii="仿宋" w:hAnsi="仿宋" w:eastAsia="仿宋" w:cs="仿宋"/>
          <w:szCs w:val="21"/>
        </w:rPr>
        <w:t>中的规定准备和递交响应文件正本、副本和电子文档，纸质响应文件封面应注明“正本”或“副本”字样，副本可以是正本的复印件，当正本和副本之间出现差异时，以正本为准。响应文件要求胶装成册，不对活页装订。</w:t>
      </w:r>
    </w:p>
    <w:p>
      <w:pPr>
        <w:tabs>
          <w:tab w:val="left" w:pos="995"/>
        </w:tabs>
        <w:spacing w:line="360" w:lineRule="auto"/>
        <w:rPr>
          <w:rFonts w:ascii="仿宋" w:hAnsi="仿宋" w:eastAsia="仿宋" w:cs="仿宋"/>
          <w:szCs w:val="21"/>
        </w:rPr>
      </w:pPr>
      <w:r>
        <w:rPr>
          <w:rFonts w:hint="eastAsia" w:ascii="仿宋" w:hAnsi="仿宋" w:eastAsia="仿宋" w:cs="仿宋"/>
          <w:szCs w:val="21"/>
        </w:rPr>
        <w:t>9.2 响应文件的正本需打印或用不褪色墨水书写，并由谈判供应商的法定代表人或经其正式授权的代表按谈判文件规定签字或者加盖公章。由授权代表签字的，应附法定代表人授权书。供应商为自然人的，应当由本人签字并附身份证明。</w:t>
      </w:r>
    </w:p>
    <w:p>
      <w:pPr>
        <w:tabs>
          <w:tab w:val="left" w:pos="995"/>
        </w:tabs>
        <w:spacing w:line="360" w:lineRule="auto"/>
        <w:rPr>
          <w:rFonts w:ascii="仿宋" w:hAnsi="仿宋" w:eastAsia="仿宋" w:cs="仿宋"/>
          <w:szCs w:val="21"/>
        </w:rPr>
      </w:pPr>
      <w:r>
        <w:rPr>
          <w:rFonts w:hint="eastAsia" w:ascii="仿宋" w:hAnsi="仿宋" w:eastAsia="仿宋" w:cs="仿宋"/>
          <w:szCs w:val="21"/>
        </w:rPr>
        <w:t>9.3 供应商在提交响应文件截止时间前，可以对所提交的响应文件进行补充、修改或者撤回，并书面通知招标方。补充、修改的内容作为响应文件的组成部分。补充、修改的内容与响应文件不一致的，以补充、修改的内容为准。</w:t>
      </w:r>
    </w:p>
    <w:p>
      <w:pPr>
        <w:tabs>
          <w:tab w:val="left" w:pos="995"/>
        </w:tabs>
        <w:spacing w:line="360" w:lineRule="auto"/>
        <w:rPr>
          <w:rFonts w:ascii="仿宋" w:hAnsi="仿宋" w:eastAsia="仿宋" w:cs="仿宋"/>
          <w:szCs w:val="21"/>
        </w:rPr>
      </w:pPr>
      <w:r>
        <w:rPr>
          <w:rFonts w:hint="eastAsia" w:ascii="仿宋" w:hAnsi="仿宋" w:eastAsia="仿宋" w:cs="仿宋"/>
          <w:szCs w:val="21"/>
        </w:rPr>
        <w:t>9.4 供应商根据谈判小组的要求对响应文件中含义不明确、同类问题表述不一致或者有明显文字和计算错误的内容等做出的澄清、说明或者更正，以及谈判中根据谈判文件实质性变动重新提交的响应文件，其签署规定同9.2款要求。</w:t>
      </w:r>
    </w:p>
    <w:p>
      <w:pPr>
        <w:pStyle w:val="2"/>
        <w:spacing w:before="0" w:after="0" w:line="360" w:lineRule="auto"/>
        <w:jc w:val="left"/>
        <w:rPr>
          <w:rFonts w:ascii="仿宋" w:hAnsi="仿宋" w:eastAsia="仿宋" w:cs="仿宋"/>
          <w:sz w:val="21"/>
          <w:szCs w:val="21"/>
        </w:rPr>
      </w:pPr>
      <w:bookmarkStart w:id="20" w:name="_Toc380479100"/>
      <w:r>
        <w:rPr>
          <w:rFonts w:hint="eastAsia" w:ascii="仿宋" w:hAnsi="仿宋" w:eastAsia="仿宋" w:cs="仿宋"/>
          <w:sz w:val="21"/>
          <w:szCs w:val="21"/>
        </w:rPr>
        <w:t>10．响应文件的递交</w:t>
      </w:r>
      <w:bookmarkEnd w:id="20"/>
    </w:p>
    <w:p>
      <w:pPr>
        <w:spacing w:line="360" w:lineRule="auto"/>
        <w:rPr>
          <w:rFonts w:ascii="仿宋" w:hAnsi="仿宋" w:eastAsia="仿宋" w:cs="仿宋"/>
          <w:kern w:val="0"/>
          <w:szCs w:val="21"/>
        </w:rPr>
      </w:pPr>
      <w:r>
        <w:rPr>
          <w:rFonts w:hint="eastAsia" w:ascii="仿宋" w:hAnsi="仿宋" w:eastAsia="仿宋" w:cs="仿宋"/>
          <w:szCs w:val="21"/>
        </w:rPr>
        <w:t>10.1 响应文件及电子版应密封递交，封套上注明谈判供应商名称、项目编号及项目名称。首次提交的响应文件必须</w:t>
      </w:r>
      <w:r>
        <w:rPr>
          <w:rFonts w:hint="eastAsia" w:ascii="仿宋" w:hAnsi="仿宋" w:eastAsia="仿宋" w:cs="仿宋"/>
          <w:kern w:val="0"/>
          <w:szCs w:val="21"/>
        </w:rPr>
        <w:t>在第一章规定的截止时间前密封送达到指定地点。在截止时间后送达的响应文件为无效文件，招标方将拒收。</w:t>
      </w:r>
    </w:p>
    <w:p>
      <w:pPr>
        <w:spacing w:line="360" w:lineRule="auto"/>
        <w:ind w:firstLine="570"/>
        <w:rPr>
          <w:rFonts w:ascii="仿宋" w:hAnsi="仿宋" w:eastAsia="仿宋" w:cs="仿宋"/>
          <w:kern w:val="0"/>
          <w:szCs w:val="21"/>
        </w:rPr>
      </w:pPr>
    </w:p>
    <w:p>
      <w:pPr>
        <w:spacing w:line="360" w:lineRule="auto"/>
        <w:ind w:firstLine="570"/>
        <w:rPr>
          <w:rFonts w:ascii="仿宋" w:hAnsi="仿宋" w:eastAsia="仿宋" w:cs="仿宋"/>
          <w:b/>
          <w:szCs w:val="21"/>
        </w:rPr>
      </w:pPr>
    </w:p>
    <w:p>
      <w:pPr>
        <w:pStyle w:val="2"/>
        <w:spacing w:before="0" w:after="0" w:line="360" w:lineRule="auto"/>
        <w:rPr>
          <w:rFonts w:ascii="仿宋" w:hAnsi="仿宋" w:eastAsia="仿宋" w:cs="仿宋"/>
          <w:b w:val="0"/>
          <w:sz w:val="21"/>
          <w:szCs w:val="21"/>
        </w:rPr>
      </w:pPr>
      <w:bookmarkStart w:id="21" w:name="_Toc380479105"/>
      <w:r>
        <w:rPr>
          <w:rFonts w:hint="eastAsia" w:ascii="仿宋" w:hAnsi="仿宋" w:eastAsia="仿宋" w:cs="仿宋"/>
          <w:sz w:val="21"/>
          <w:szCs w:val="21"/>
        </w:rPr>
        <w:t>五  评审和谈判</w:t>
      </w:r>
      <w:bookmarkEnd w:id="21"/>
    </w:p>
    <w:p>
      <w:pPr>
        <w:pStyle w:val="2"/>
        <w:spacing w:before="0" w:after="0" w:line="360" w:lineRule="auto"/>
        <w:jc w:val="left"/>
        <w:rPr>
          <w:rFonts w:ascii="仿宋" w:hAnsi="仿宋" w:eastAsia="仿宋" w:cs="仿宋"/>
          <w:sz w:val="21"/>
          <w:szCs w:val="21"/>
        </w:rPr>
      </w:pPr>
      <w:bookmarkStart w:id="22" w:name="_Toc380479106"/>
      <w:r>
        <w:rPr>
          <w:rFonts w:hint="eastAsia" w:ascii="仿宋" w:hAnsi="仿宋" w:eastAsia="仿宋" w:cs="仿宋"/>
          <w:sz w:val="21"/>
          <w:szCs w:val="21"/>
        </w:rPr>
        <w:t>11．响应文件的评审与澄清</w:t>
      </w:r>
      <w:bookmarkEnd w:id="22"/>
    </w:p>
    <w:p>
      <w:pPr>
        <w:widowControl/>
        <w:snapToGrid w:val="0"/>
        <w:spacing w:line="360" w:lineRule="auto"/>
        <w:jc w:val="left"/>
        <w:rPr>
          <w:rFonts w:ascii="仿宋" w:hAnsi="仿宋" w:eastAsia="仿宋" w:cs="仿宋"/>
          <w:szCs w:val="21"/>
        </w:rPr>
      </w:pPr>
      <w:r>
        <w:rPr>
          <w:rFonts w:hint="eastAsia" w:ascii="仿宋" w:hAnsi="仿宋" w:eastAsia="仿宋" w:cs="仿宋"/>
          <w:szCs w:val="21"/>
        </w:rPr>
        <w:t>11.1谈判小组在确认了谈判文件后，按照谈判文件规定的资格条件对供应商进行资格审查，符合资格条件的供应商将被认定为参加谈判的供应商。</w:t>
      </w:r>
    </w:p>
    <w:p>
      <w:pPr>
        <w:widowControl/>
        <w:snapToGrid w:val="0"/>
        <w:spacing w:line="360" w:lineRule="auto"/>
        <w:jc w:val="left"/>
        <w:rPr>
          <w:rFonts w:ascii="仿宋" w:hAnsi="仿宋" w:eastAsia="仿宋" w:cs="仿宋"/>
          <w:szCs w:val="21"/>
        </w:rPr>
      </w:pPr>
      <w:r>
        <w:rPr>
          <w:rFonts w:hint="eastAsia" w:ascii="仿宋" w:hAnsi="仿宋" w:eastAsia="仿宋" w:cs="仿宋"/>
          <w:szCs w:val="21"/>
        </w:rPr>
        <w:t>11.2谈判小组按照谈判文件规定的除资格条件外的其它实质性条款，对参加谈判的供应商进行有效性、完整性和响应程度的审查。未实质性响应谈判文件的供应商将按无效处理，不参加后续谈判。</w:t>
      </w:r>
    </w:p>
    <w:p>
      <w:pPr>
        <w:spacing w:line="360" w:lineRule="auto"/>
        <w:rPr>
          <w:rFonts w:ascii="仿宋" w:hAnsi="仿宋" w:eastAsia="仿宋" w:cs="仿宋"/>
          <w:szCs w:val="21"/>
        </w:rPr>
      </w:pPr>
      <w:r>
        <w:rPr>
          <w:rFonts w:hint="eastAsia" w:ascii="仿宋" w:hAnsi="仿宋" w:eastAsia="仿宋" w:cs="仿宋"/>
          <w:szCs w:val="21"/>
        </w:rPr>
        <w:t>11.3 出现下列情形之一的，将被认定为未实质性响应谈判文件：</w:t>
      </w:r>
    </w:p>
    <w:p>
      <w:pPr>
        <w:spacing w:line="360" w:lineRule="auto"/>
        <w:rPr>
          <w:rFonts w:ascii="仿宋" w:hAnsi="仿宋" w:eastAsia="仿宋" w:cs="仿宋"/>
          <w:szCs w:val="21"/>
        </w:rPr>
      </w:pPr>
      <w:r>
        <w:rPr>
          <w:rFonts w:hint="eastAsia" w:ascii="仿宋" w:hAnsi="仿宋" w:eastAsia="仿宋" w:cs="仿宋"/>
          <w:szCs w:val="21"/>
        </w:rPr>
        <w:t>（1）未按要求交纳保证金的；</w:t>
      </w:r>
    </w:p>
    <w:p>
      <w:pPr>
        <w:spacing w:line="360" w:lineRule="auto"/>
        <w:rPr>
          <w:rFonts w:ascii="仿宋" w:hAnsi="仿宋" w:eastAsia="仿宋" w:cs="仿宋"/>
          <w:szCs w:val="21"/>
        </w:rPr>
      </w:pPr>
      <w:r>
        <w:rPr>
          <w:rFonts w:hint="eastAsia" w:ascii="仿宋" w:hAnsi="仿宋" w:eastAsia="仿宋" w:cs="仿宋"/>
          <w:szCs w:val="21"/>
        </w:rPr>
        <w:t>（2）未按照谈判文件规定要求装订、密封、签署、盖章的；</w:t>
      </w:r>
    </w:p>
    <w:p>
      <w:pPr>
        <w:spacing w:line="360" w:lineRule="auto"/>
        <w:rPr>
          <w:rFonts w:ascii="仿宋" w:hAnsi="仿宋" w:eastAsia="仿宋" w:cs="仿宋"/>
          <w:szCs w:val="21"/>
        </w:rPr>
      </w:pPr>
      <w:r>
        <w:rPr>
          <w:rFonts w:hint="eastAsia" w:ascii="仿宋" w:hAnsi="仿宋" w:eastAsia="仿宋" w:cs="仿宋"/>
          <w:szCs w:val="21"/>
        </w:rPr>
        <w:t>（3）供应商在报价时采用选择性报价；</w:t>
      </w:r>
    </w:p>
    <w:p>
      <w:pPr>
        <w:spacing w:line="360" w:lineRule="auto"/>
        <w:rPr>
          <w:rFonts w:ascii="仿宋" w:hAnsi="仿宋" w:eastAsia="仿宋" w:cs="仿宋"/>
          <w:szCs w:val="21"/>
        </w:rPr>
      </w:pPr>
      <w:r>
        <w:rPr>
          <w:rFonts w:hint="eastAsia" w:ascii="仿宋" w:hAnsi="仿宋" w:eastAsia="仿宋" w:cs="仿宋"/>
          <w:szCs w:val="21"/>
        </w:rPr>
        <w:t>（4）供应商不具备谈判文件中规定资格要求的；</w:t>
      </w:r>
    </w:p>
    <w:p>
      <w:pPr>
        <w:spacing w:line="360" w:lineRule="auto"/>
        <w:rPr>
          <w:rFonts w:ascii="仿宋" w:hAnsi="仿宋" w:eastAsia="仿宋" w:cs="仿宋"/>
          <w:szCs w:val="21"/>
        </w:rPr>
      </w:pPr>
      <w:r>
        <w:rPr>
          <w:rFonts w:hint="eastAsia" w:ascii="仿宋" w:hAnsi="仿宋" w:eastAsia="仿宋" w:cs="仿宋"/>
          <w:szCs w:val="21"/>
        </w:rPr>
        <w:t>（5）不符合法律、法规和谈判文件中规定的其他实质性要求的（本谈判文件中用*、★、※等标明为实质性要求和条件）；</w:t>
      </w:r>
    </w:p>
    <w:p>
      <w:pPr>
        <w:spacing w:line="360" w:lineRule="auto"/>
        <w:rPr>
          <w:rFonts w:ascii="仿宋" w:hAnsi="仿宋" w:eastAsia="仿宋" w:cs="仿宋"/>
          <w:szCs w:val="21"/>
        </w:rPr>
      </w:pPr>
      <w:r>
        <w:rPr>
          <w:rFonts w:hint="eastAsia" w:ascii="仿宋" w:hAnsi="仿宋" w:eastAsia="仿宋" w:cs="仿宋"/>
          <w:szCs w:val="21"/>
        </w:rPr>
        <w:t>（6）不良信用记录；</w:t>
      </w:r>
    </w:p>
    <w:p>
      <w:pPr>
        <w:spacing w:line="360" w:lineRule="auto"/>
        <w:rPr>
          <w:rFonts w:ascii="仿宋" w:hAnsi="仿宋" w:eastAsia="仿宋" w:cs="仿宋"/>
          <w:szCs w:val="21"/>
        </w:rPr>
      </w:pPr>
      <w:r>
        <w:rPr>
          <w:rFonts w:hint="eastAsia" w:ascii="仿宋" w:hAnsi="仿宋" w:eastAsia="仿宋" w:cs="仿宋"/>
          <w:szCs w:val="21"/>
        </w:rPr>
        <w:t>（7）响应文件有效期少于</w:t>
      </w:r>
      <w:r>
        <w:rPr>
          <w:rFonts w:hint="eastAsia" w:ascii="仿宋" w:hAnsi="仿宋" w:eastAsia="仿宋" w:cs="仿宋"/>
          <w:szCs w:val="21"/>
          <w:u w:val="single"/>
        </w:rPr>
        <w:t>90</w:t>
      </w:r>
      <w:r>
        <w:rPr>
          <w:rFonts w:hint="eastAsia" w:ascii="仿宋" w:hAnsi="仿宋" w:eastAsia="仿宋" w:cs="仿宋"/>
          <w:szCs w:val="21"/>
        </w:rPr>
        <w:t>日历天；</w:t>
      </w:r>
    </w:p>
    <w:p>
      <w:pPr>
        <w:spacing w:line="360" w:lineRule="auto"/>
        <w:ind w:left="105" w:hanging="105" w:hangingChars="50"/>
        <w:rPr>
          <w:rFonts w:ascii="仿宋" w:hAnsi="仿宋" w:eastAsia="仿宋" w:cs="仿宋"/>
          <w:szCs w:val="21"/>
        </w:rPr>
      </w:pPr>
      <w:r>
        <w:rPr>
          <w:rFonts w:hint="eastAsia" w:ascii="仿宋" w:hAnsi="仿宋" w:eastAsia="仿宋" w:cs="仿宋"/>
          <w:szCs w:val="21"/>
        </w:rPr>
        <w:t>（8）其他法律、法规及本谈判文件规定的属于按无效处理的响应文件的情形。</w:t>
      </w:r>
    </w:p>
    <w:p>
      <w:pPr>
        <w:spacing w:line="360" w:lineRule="auto"/>
        <w:rPr>
          <w:rFonts w:ascii="仿宋" w:hAnsi="仿宋" w:eastAsia="仿宋" w:cs="仿宋"/>
          <w:szCs w:val="21"/>
        </w:rPr>
      </w:pPr>
      <w:r>
        <w:rPr>
          <w:rFonts w:hint="eastAsia" w:ascii="仿宋" w:hAnsi="仿宋" w:eastAsia="仿宋" w:cs="仿宋"/>
          <w:szCs w:val="21"/>
        </w:rPr>
        <w:t>11.4 如果响应文件实质上没有响应谈判文件的要求，谈判小组将予以拒绝，供应商不得通过修改或撤销不合要求的偏离或保留而使其响应文件成为实质性响应的文件。</w:t>
      </w:r>
    </w:p>
    <w:p>
      <w:pPr>
        <w:widowControl/>
        <w:snapToGrid w:val="0"/>
        <w:spacing w:line="360" w:lineRule="auto"/>
        <w:jc w:val="left"/>
        <w:rPr>
          <w:rFonts w:ascii="仿宋" w:hAnsi="仿宋" w:eastAsia="仿宋" w:cs="仿宋"/>
          <w:szCs w:val="21"/>
        </w:rPr>
      </w:pPr>
      <w:r>
        <w:rPr>
          <w:rFonts w:hint="eastAsia" w:ascii="仿宋" w:hAnsi="仿宋" w:eastAsia="仿宋" w:cs="仿宋"/>
          <w:szCs w:val="21"/>
        </w:rPr>
        <w:t>11.5 在按照14.2的规定进行审查时，谈判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谈判小组澄清等要求的供应商如未按规定做出澄清，其风险由供应商自行承担。</w:t>
      </w:r>
    </w:p>
    <w:p>
      <w:pPr>
        <w:spacing w:line="360" w:lineRule="auto"/>
        <w:rPr>
          <w:rFonts w:ascii="仿宋" w:hAnsi="仿宋" w:eastAsia="仿宋" w:cs="仿宋"/>
          <w:szCs w:val="21"/>
        </w:rPr>
      </w:pPr>
      <w:r>
        <w:rPr>
          <w:rFonts w:hint="eastAsia" w:ascii="仿宋" w:hAnsi="仿宋" w:eastAsia="仿宋" w:cs="仿宋"/>
          <w:szCs w:val="21"/>
        </w:rPr>
        <w:t>11.6信用记录</w:t>
      </w:r>
    </w:p>
    <w:p>
      <w:pPr>
        <w:spacing w:line="360" w:lineRule="auto"/>
        <w:rPr>
          <w:rFonts w:ascii="仿宋" w:hAnsi="仿宋" w:eastAsia="仿宋" w:cs="仿宋"/>
          <w:szCs w:val="21"/>
        </w:rPr>
      </w:pPr>
      <w:r>
        <w:rPr>
          <w:rFonts w:hint="eastAsia" w:ascii="仿宋" w:hAnsi="仿宋" w:eastAsia="仿宋" w:cs="仿宋"/>
          <w:szCs w:val="21"/>
        </w:rPr>
        <w:t>11.6.1招标采购单位将在开标前一天至投标截止后一小时期间查询投标人的信用记录，投标人存在不良信用记录的，其投标将被作为无效投标被拒绝。</w:t>
      </w:r>
    </w:p>
    <w:p>
      <w:pPr>
        <w:spacing w:line="360" w:lineRule="auto"/>
        <w:rPr>
          <w:rFonts w:ascii="仿宋" w:hAnsi="仿宋" w:eastAsia="仿宋" w:cs="仿宋"/>
          <w:szCs w:val="21"/>
        </w:rPr>
      </w:pPr>
      <w:r>
        <w:rPr>
          <w:rFonts w:hint="eastAsia" w:ascii="仿宋" w:hAnsi="仿宋" w:eastAsia="仿宋" w:cs="仿宋"/>
          <w:szCs w:val="21"/>
        </w:rPr>
        <w:t>11.6.2 不良信用记录指：投标人在“信用中国”网站（www.creditchina.gov.cn）被列入失信被执行人和重大税收违法案件当事人名单或在中国政府采购网（www.ccgp.gov.cn）被列入政府采购严重违法失信行为记录名单。</w:t>
      </w:r>
    </w:p>
    <w:p>
      <w:pPr>
        <w:spacing w:line="360" w:lineRule="auto"/>
        <w:rPr>
          <w:rFonts w:ascii="仿宋" w:hAnsi="仿宋" w:eastAsia="仿宋" w:cs="仿宋"/>
          <w:szCs w:val="21"/>
        </w:rPr>
      </w:pPr>
      <w:r>
        <w:rPr>
          <w:rFonts w:hint="eastAsia" w:ascii="仿宋" w:hAnsi="仿宋" w:eastAsia="仿宋" w:cs="仿宋"/>
          <w:szCs w:val="21"/>
        </w:rPr>
        <w:t>联合体投标的，联合体成员存在以上不良信用记录的，视同联合体存在不良信用记录。</w:t>
      </w:r>
    </w:p>
    <w:p>
      <w:pPr>
        <w:spacing w:line="360" w:lineRule="auto"/>
        <w:rPr>
          <w:rFonts w:ascii="仿宋" w:hAnsi="仿宋" w:eastAsia="仿宋" w:cs="仿宋"/>
          <w:szCs w:val="21"/>
        </w:rPr>
      </w:pPr>
      <w:r>
        <w:rPr>
          <w:rFonts w:hint="eastAsia" w:ascii="仿宋" w:hAnsi="仿宋" w:eastAsia="仿宋" w:cs="仿宋"/>
          <w:szCs w:val="21"/>
        </w:rPr>
        <w:t>11.6.3查询及记录方式：招标采购单位经办人和监督人员将查询网页打印、签字并存档备查。投标人不良信用记录以招标采购单位查询结果为准，招标采购单位查询之后，网站信息发生的任何变更均不再作为评标依据，投标人自行提供的与网站信息不一致的其他证明材料亦不作为评标依据。</w:t>
      </w:r>
    </w:p>
    <w:p>
      <w:pPr>
        <w:spacing w:line="360" w:lineRule="auto"/>
        <w:rPr>
          <w:rFonts w:ascii="仿宋" w:hAnsi="仿宋" w:eastAsia="仿宋" w:cs="仿宋"/>
          <w:szCs w:val="21"/>
        </w:rPr>
      </w:pPr>
      <w:r>
        <w:rPr>
          <w:rFonts w:hint="eastAsia" w:ascii="仿宋" w:hAnsi="仿宋" w:eastAsia="仿宋" w:cs="仿宋"/>
          <w:szCs w:val="21"/>
        </w:rPr>
        <w:t>11.7 对未被认定为参加谈判的供应商和其它未实质性响应谈判文件的供应商，谈判小组将及时告知。</w:t>
      </w:r>
    </w:p>
    <w:p>
      <w:pPr>
        <w:pStyle w:val="2"/>
        <w:spacing w:before="0" w:after="0" w:line="360" w:lineRule="auto"/>
        <w:jc w:val="left"/>
        <w:rPr>
          <w:rFonts w:ascii="仿宋" w:hAnsi="仿宋" w:eastAsia="仿宋" w:cs="仿宋"/>
          <w:sz w:val="21"/>
          <w:szCs w:val="21"/>
        </w:rPr>
      </w:pPr>
      <w:bookmarkStart w:id="23" w:name="_Toc380479107"/>
      <w:r>
        <w:rPr>
          <w:rFonts w:hint="eastAsia" w:ascii="仿宋" w:hAnsi="仿宋" w:eastAsia="仿宋" w:cs="仿宋"/>
          <w:sz w:val="21"/>
          <w:szCs w:val="21"/>
        </w:rPr>
        <w:t>12．谈判</w:t>
      </w:r>
      <w:bookmarkEnd w:id="23"/>
    </w:p>
    <w:p>
      <w:pPr>
        <w:widowControl/>
        <w:snapToGrid w:val="0"/>
        <w:spacing w:line="360" w:lineRule="auto"/>
        <w:jc w:val="left"/>
        <w:rPr>
          <w:rFonts w:ascii="仿宋" w:hAnsi="仿宋" w:eastAsia="仿宋" w:cs="仿宋"/>
          <w:szCs w:val="21"/>
        </w:rPr>
      </w:pPr>
      <w:r>
        <w:rPr>
          <w:rFonts w:hint="eastAsia" w:ascii="仿宋" w:hAnsi="仿宋" w:eastAsia="仿宋" w:cs="仿宋"/>
          <w:szCs w:val="21"/>
        </w:rPr>
        <w:t>12.1 依据谈判文件的要求和各供应商响应文件的应答情况，谈判小组所有成员集中在通知的时间，与参加的供应商逐一进行一轮或多轮谈判。谈判小组将给予所有参加谈判的供应商平等的谈判机会。谈判小组不保证最低报价中标。</w:t>
      </w:r>
    </w:p>
    <w:p>
      <w:pPr>
        <w:widowControl/>
        <w:snapToGrid w:val="0"/>
        <w:spacing w:line="360" w:lineRule="auto"/>
        <w:jc w:val="left"/>
        <w:rPr>
          <w:rFonts w:ascii="仿宋" w:hAnsi="仿宋" w:eastAsia="仿宋" w:cs="仿宋"/>
          <w:szCs w:val="21"/>
        </w:rPr>
      </w:pPr>
      <w:r>
        <w:rPr>
          <w:rFonts w:hint="eastAsia" w:ascii="仿宋" w:hAnsi="仿宋" w:eastAsia="仿宋" w:cs="仿宋"/>
          <w:szCs w:val="21"/>
        </w:rPr>
        <w:t>12.2 谈判包括但不限于以下内容：</w:t>
      </w:r>
    </w:p>
    <w:p>
      <w:pPr>
        <w:widowControl/>
        <w:snapToGrid w:val="0"/>
        <w:spacing w:line="360" w:lineRule="auto"/>
        <w:jc w:val="left"/>
        <w:rPr>
          <w:rFonts w:ascii="仿宋" w:hAnsi="仿宋" w:eastAsia="仿宋" w:cs="仿宋"/>
          <w:szCs w:val="21"/>
        </w:rPr>
      </w:pPr>
      <w:r>
        <w:rPr>
          <w:rFonts w:hint="eastAsia" w:ascii="仿宋" w:hAnsi="仿宋" w:eastAsia="仿宋" w:cs="仿宋"/>
          <w:szCs w:val="21"/>
        </w:rPr>
        <w:t>（1）谈判小组根据谈判文件要求，对照各谈判供应商提交的响应文件中技术、服务以及合同草案条款等应答情况，进行确认或者询问；</w:t>
      </w:r>
    </w:p>
    <w:p>
      <w:pPr>
        <w:widowControl/>
        <w:snapToGrid w:val="0"/>
        <w:spacing w:line="360" w:lineRule="auto"/>
        <w:jc w:val="left"/>
        <w:rPr>
          <w:rFonts w:ascii="仿宋" w:hAnsi="仿宋" w:eastAsia="仿宋" w:cs="仿宋"/>
          <w:szCs w:val="21"/>
        </w:rPr>
      </w:pPr>
      <w:r>
        <w:rPr>
          <w:rFonts w:hint="eastAsia" w:ascii="仿宋" w:hAnsi="仿宋" w:eastAsia="仿宋" w:cs="仿宋"/>
          <w:szCs w:val="21"/>
        </w:rPr>
        <w:t>（2）按</w:t>
      </w:r>
      <w:r>
        <w:rPr>
          <w:rFonts w:hint="eastAsia" w:ascii="仿宋" w:hAnsi="仿宋" w:eastAsia="仿宋" w:cs="仿宋"/>
          <w:szCs w:val="21"/>
          <w:u w:val="single"/>
        </w:rPr>
        <w:t>前附表</w:t>
      </w:r>
      <w:r>
        <w:rPr>
          <w:rFonts w:hint="eastAsia" w:ascii="仿宋" w:hAnsi="仿宋" w:eastAsia="仿宋" w:cs="仿宋"/>
          <w:szCs w:val="21"/>
        </w:rPr>
        <w:t>修改变动谈判文件，并及时以书面形式同时通知所有参加谈判的供应商；</w:t>
      </w:r>
    </w:p>
    <w:p>
      <w:pPr>
        <w:widowControl/>
        <w:snapToGrid w:val="0"/>
        <w:spacing w:line="360" w:lineRule="auto"/>
        <w:jc w:val="left"/>
        <w:rPr>
          <w:rFonts w:ascii="仿宋" w:hAnsi="仿宋" w:eastAsia="仿宋" w:cs="仿宋"/>
          <w:szCs w:val="21"/>
        </w:rPr>
      </w:pPr>
      <w:r>
        <w:rPr>
          <w:rFonts w:hint="eastAsia" w:ascii="仿宋" w:hAnsi="仿宋" w:eastAsia="仿宋" w:cs="仿宋"/>
          <w:szCs w:val="21"/>
        </w:rPr>
        <w:t>（3）针对修改变动的谈判文件，与所有参加谈判的供应商进行确认或者询问。</w:t>
      </w:r>
    </w:p>
    <w:p>
      <w:pPr>
        <w:pStyle w:val="2"/>
        <w:spacing w:before="0" w:after="0" w:line="360" w:lineRule="auto"/>
        <w:jc w:val="left"/>
        <w:rPr>
          <w:rFonts w:ascii="仿宋" w:hAnsi="仿宋" w:eastAsia="仿宋" w:cs="仿宋"/>
          <w:sz w:val="21"/>
          <w:szCs w:val="21"/>
        </w:rPr>
      </w:pPr>
      <w:bookmarkStart w:id="24" w:name="_Toc380479108"/>
      <w:r>
        <w:rPr>
          <w:rFonts w:hint="eastAsia" w:ascii="仿宋" w:hAnsi="仿宋" w:eastAsia="仿宋" w:cs="仿宋"/>
          <w:sz w:val="21"/>
          <w:szCs w:val="21"/>
        </w:rPr>
        <w:t>13．保密原则</w:t>
      </w:r>
      <w:bookmarkEnd w:id="24"/>
    </w:p>
    <w:p>
      <w:pPr>
        <w:snapToGrid w:val="0"/>
        <w:spacing w:line="360" w:lineRule="auto"/>
        <w:rPr>
          <w:rFonts w:ascii="仿宋" w:hAnsi="仿宋" w:eastAsia="仿宋" w:cs="仿宋"/>
          <w:szCs w:val="21"/>
        </w:rPr>
      </w:pPr>
      <w:r>
        <w:rPr>
          <w:rFonts w:hint="eastAsia" w:ascii="仿宋" w:hAnsi="仿宋" w:eastAsia="仿宋" w:cs="仿宋"/>
          <w:szCs w:val="21"/>
        </w:rPr>
        <w:t>13.1 谈判小组成员以及与谈判工作有关的人员不得泄露评审和谈判过程中获悉的国家秘密、商业秘密，不得超越法规的规定向无关人员告知评审和谈判情况。</w:t>
      </w:r>
    </w:p>
    <w:p>
      <w:pPr>
        <w:snapToGrid w:val="0"/>
        <w:spacing w:line="360" w:lineRule="auto"/>
        <w:ind w:firstLine="420" w:firstLineChars="200"/>
        <w:rPr>
          <w:rFonts w:ascii="仿宋" w:hAnsi="仿宋" w:eastAsia="仿宋" w:cs="仿宋"/>
          <w:szCs w:val="21"/>
        </w:rPr>
      </w:pPr>
    </w:p>
    <w:p>
      <w:pPr>
        <w:pStyle w:val="2"/>
        <w:spacing w:before="0" w:after="0" w:line="360" w:lineRule="auto"/>
        <w:rPr>
          <w:rFonts w:ascii="仿宋" w:hAnsi="仿宋" w:eastAsia="仿宋" w:cs="仿宋"/>
          <w:b w:val="0"/>
          <w:sz w:val="21"/>
          <w:szCs w:val="21"/>
        </w:rPr>
      </w:pPr>
      <w:bookmarkStart w:id="25" w:name="_Toc380479109"/>
      <w:r>
        <w:rPr>
          <w:rFonts w:hint="eastAsia" w:ascii="仿宋" w:hAnsi="仿宋" w:eastAsia="仿宋" w:cs="仿宋"/>
          <w:sz w:val="21"/>
          <w:szCs w:val="21"/>
        </w:rPr>
        <w:t>六  最后报价</w:t>
      </w:r>
      <w:bookmarkEnd w:id="25"/>
    </w:p>
    <w:p>
      <w:pPr>
        <w:pStyle w:val="2"/>
        <w:spacing w:before="0" w:after="0" w:line="360" w:lineRule="auto"/>
        <w:jc w:val="left"/>
        <w:rPr>
          <w:rFonts w:ascii="仿宋" w:hAnsi="仿宋" w:eastAsia="仿宋" w:cs="仿宋"/>
          <w:sz w:val="21"/>
          <w:szCs w:val="21"/>
        </w:rPr>
      </w:pPr>
      <w:bookmarkStart w:id="26" w:name="_Toc380479110"/>
      <w:r>
        <w:rPr>
          <w:rFonts w:hint="eastAsia" w:ascii="仿宋" w:hAnsi="仿宋" w:eastAsia="仿宋" w:cs="仿宋"/>
          <w:sz w:val="21"/>
          <w:szCs w:val="21"/>
        </w:rPr>
        <w:t>14．最后报价的提交</w:t>
      </w:r>
      <w:bookmarkEnd w:id="26"/>
    </w:p>
    <w:p>
      <w:pPr>
        <w:spacing w:line="360" w:lineRule="auto"/>
        <w:rPr>
          <w:rFonts w:ascii="仿宋" w:hAnsi="仿宋" w:eastAsia="仿宋" w:cs="仿宋"/>
          <w:szCs w:val="21"/>
        </w:rPr>
      </w:pPr>
      <w:r>
        <w:rPr>
          <w:rFonts w:hint="eastAsia" w:ascii="仿宋" w:hAnsi="仿宋" w:eastAsia="仿宋" w:cs="仿宋"/>
          <w:szCs w:val="21"/>
        </w:rPr>
        <w:t>14.1 谈判结束后，所有继续参加谈判的供应商应在谈判小组规定时间内提交最后报价。如果</w:t>
      </w:r>
      <w:r>
        <w:rPr>
          <w:rFonts w:hint="eastAsia" w:ascii="仿宋" w:hAnsi="仿宋" w:eastAsia="仿宋" w:cs="仿宋"/>
          <w:kern w:val="0"/>
          <w:szCs w:val="21"/>
        </w:rPr>
        <w:t>谈判文件不能详细列明采购标的的技术、服务要求，谈判结束后，谈判小组将按照少数服从多数的原则投票推荐3家以上供应商的设计方案或者解决方案，并要求其在规定时间内提交最后报价。</w:t>
      </w:r>
    </w:p>
    <w:p>
      <w:pPr>
        <w:spacing w:line="360" w:lineRule="auto"/>
        <w:rPr>
          <w:rFonts w:ascii="仿宋" w:hAnsi="仿宋" w:eastAsia="仿宋" w:cs="仿宋"/>
          <w:szCs w:val="21"/>
        </w:rPr>
      </w:pPr>
      <w:r>
        <w:rPr>
          <w:rFonts w:hint="eastAsia" w:ascii="仿宋" w:hAnsi="仿宋" w:eastAsia="仿宋" w:cs="仿宋"/>
          <w:szCs w:val="21"/>
        </w:rPr>
        <w:t>14.2 最后报价是供应商响应文件的有效组成部分。</w:t>
      </w:r>
    </w:p>
    <w:p>
      <w:pPr>
        <w:spacing w:line="360" w:lineRule="auto"/>
        <w:rPr>
          <w:rFonts w:ascii="仿宋" w:hAnsi="仿宋" w:eastAsia="仿宋" w:cs="仿宋"/>
          <w:szCs w:val="21"/>
        </w:rPr>
      </w:pPr>
      <w:r>
        <w:rPr>
          <w:rFonts w:hint="eastAsia" w:ascii="仿宋" w:hAnsi="仿宋" w:eastAsia="仿宋" w:cs="仿宋"/>
          <w:szCs w:val="21"/>
        </w:rPr>
        <w:t>14.3 最后报价，须密封递交，仅需一份正本，签署规定同本谈判文件要求。</w:t>
      </w:r>
    </w:p>
    <w:p>
      <w:pPr>
        <w:pStyle w:val="2"/>
        <w:spacing w:before="0" w:after="0" w:line="360" w:lineRule="auto"/>
        <w:jc w:val="left"/>
        <w:rPr>
          <w:rFonts w:ascii="仿宋" w:hAnsi="仿宋" w:eastAsia="仿宋" w:cs="仿宋"/>
          <w:sz w:val="21"/>
          <w:szCs w:val="21"/>
        </w:rPr>
      </w:pPr>
      <w:bookmarkStart w:id="27" w:name="_Toc380479111"/>
      <w:r>
        <w:rPr>
          <w:rFonts w:hint="eastAsia" w:ascii="仿宋" w:hAnsi="仿宋" w:eastAsia="仿宋" w:cs="仿宋"/>
          <w:sz w:val="21"/>
          <w:szCs w:val="21"/>
        </w:rPr>
        <w:t>15．逾期提交的最后报价</w:t>
      </w:r>
      <w:bookmarkEnd w:id="27"/>
    </w:p>
    <w:p>
      <w:pPr>
        <w:spacing w:line="360" w:lineRule="auto"/>
        <w:rPr>
          <w:rFonts w:ascii="仿宋" w:hAnsi="仿宋" w:eastAsia="仿宋" w:cs="仿宋"/>
          <w:szCs w:val="21"/>
        </w:rPr>
      </w:pPr>
      <w:r>
        <w:rPr>
          <w:rFonts w:hint="eastAsia" w:ascii="仿宋" w:hAnsi="仿宋" w:eastAsia="仿宋" w:cs="仿宋"/>
          <w:szCs w:val="21"/>
        </w:rPr>
        <w:t>15.1 最后报价须在谈判小组规定的时间内送达指定地点。逾期提交最后报价的谈判供应商将被取消授予合同的资格。</w:t>
      </w:r>
    </w:p>
    <w:p>
      <w:pPr>
        <w:spacing w:line="360" w:lineRule="auto"/>
        <w:rPr>
          <w:rFonts w:ascii="仿宋" w:hAnsi="仿宋" w:eastAsia="仿宋" w:cs="仿宋"/>
          <w:b/>
          <w:szCs w:val="21"/>
        </w:rPr>
      </w:pPr>
    </w:p>
    <w:p>
      <w:pPr>
        <w:pStyle w:val="2"/>
        <w:spacing w:before="0" w:after="0" w:line="360" w:lineRule="auto"/>
        <w:rPr>
          <w:rFonts w:ascii="仿宋" w:hAnsi="仿宋" w:eastAsia="仿宋" w:cs="仿宋"/>
          <w:b w:val="0"/>
          <w:sz w:val="21"/>
          <w:szCs w:val="21"/>
        </w:rPr>
      </w:pPr>
      <w:bookmarkStart w:id="28" w:name="_Toc380479112"/>
      <w:r>
        <w:rPr>
          <w:rFonts w:hint="eastAsia" w:ascii="仿宋" w:hAnsi="仿宋" w:eastAsia="仿宋" w:cs="仿宋"/>
          <w:sz w:val="21"/>
          <w:szCs w:val="21"/>
        </w:rPr>
        <w:t>七  确定成交候选供应商</w:t>
      </w:r>
      <w:bookmarkEnd w:id="28"/>
    </w:p>
    <w:p>
      <w:pPr>
        <w:pStyle w:val="2"/>
        <w:spacing w:before="0" w:after="0" w:line="360" w:lineRule="auto"/>
        <w:jc w:val="left"/>
        <w:rPr>
          <w:rFonts w:ascii="仿宋" w:hAnsi="仿宋" w:eastAsia="仿宋" w:cs="仿宋"/>
          <w:sz w:val="21"/>
          <w:szCs w:val="21"/>
        </w:rPr>
      </w:pPr>
      <w:bookmarkStart w:id="29" w:name="_Toc380479113"/>
      <w:r>
        <w:rPr>
          <w:rFonts w:hint="eastAsia" w:ascii="仿宋" w:hAnsi="仿宋" w:eastAsia="仿宋" w:cs="仿宋"/>
          <w:sz w:val="21"/>
          <w:szCs w:val="21"/>
        </w:rPr>
        <w:t>16．确定成交候选供应商原则</w:t>
      </w:r>
      <w:bookmarkEnd w:id="29"/>
    </w:p>
    <w:p>
      <w:pPr>
        <w:spacing w:line="360" w:lineRule="auto"/>
        <w:rPr>
          <w:rFonts w:ascii="仿宋" w:hAnsi="仿宋" w:eastAsia="仿宋" w:cs="仿宋"/>
          <w:kern w:val="0"/>
          <w:szCs w:val="21"/>
        </w:rPr>
      </w:pPr>
      <w:r>
        <w:rPr>
          <w:rFonts w:hint="eastAsia" w:ascii="仿宋" w:hAnsi="仿宋" w:eastAsia="仿宋" w:cs="仿宋"/>
          <w:kern w:val="0"/>
          <w:szCs w:val="21"/>
        </w:rPr>
        <w:t>16.1 谈判小组从质量和服务均能满足采购文件实质性响应要求的供应商中，按照最后报价由低到高的顺序提出成交候选供应商，推荐数量见</w:t>
      </w:r>
      <w:r>
        <w:rPr>
          <w:rFonts w:hint="eastAsia" w:ascii="仿宋" w:hAnsi="仿宋" w:eastAsia="仿宋" w:cs="仿宋"/>
          <w:kern w:val="0"/>
          <w:szCs w:val="21"/>
          <w:u w:val="single"/>
        </w:rPr>
        <w:t>前附表</w:t>
      </w:r>
      <w:r>
        <w:rPr>
          <w:rFonts w:hint="eastAsia" w:ascii="仿宋" w:hAnsi="仿宋" w:eastAsia="仿宋" w:cs="仿宋"/>
          <w:kern w:val="0"/>
          <w:szCs w:val="21"/>
        </w:rPr>
        <w:t>。被推荐为成交候选供应商的最后报价应不高于本项目采购预算控制金额。</w:t>
      </w:r>
    </w:p>
    <w:p>
      <w:pPr>
        <w:spacing w:line="360" w:lineRule="auto"/>
        <w:rPr>
          <w:rFonts w:ascii="仿宋" w:hAnsi="仿宋" w:eastAsia="仿宋" w:cs="仿宋"/>
          <w:kern w:val="0"/>
          <w:szCs w:val="21"/>
        </w:rPr>
      </w:pPr>
      <w:r>
        <w:rPr>
          <w:rFonts w:hint="eastAsia" w:ascii="仿宋" w:hAnsi="仿宋" w:eastAsia="仿宋" w:cs="仿宋"/>
          <w:kern w:val="0"/>
          <w:szCs w:val="21"/>
        </w:rPr>
        <w:t>16.2 如出现最后报价相等的情况，由谈判小组按照少数服从多数的原则投票确定最后报价相同的成交候选供应商顺序。</w:t>
      </w:r>
    </w:p>
    <w:p>
      <w:pPr>
        <w:pStyle w:val="2"/>
        <w:spacing w:before="0" w:after="0" w:line="360" w:lineRule="auto"/>
        <w:jc w:val="left"/>
        <w:rPr>
          <w:rFonts w:ascii="仿宋" w:hAnsi="仿宋" w:eastAsia="仿宋" w:cs="仿宋"/>
          <w:sz w:val="21"/>
          <w:szCs w:val="21"/>
        </w:rPr>
      </w:pPr>
      <w:bookmarkStart w:id="30" w:name="_Toc380479114"/>
      <w:r>
        <w:rPr>
          <w:rFonts w:hint="eastAsia" w:ascii="仿宋" w:hAnsi="仿宋" w:eastAsia="仿宋" w:cs="仿宋"/>
          <w:sz w:val="21"/>
          <w:szCs w:val="21"/>
        </w:rPr>
        <w:t>17．政府采购政策功能的落实</w:t>
      </w:r>
      <w:bookmarkEnd w:id="30"/>
    </w:p>
    <w:p>
      <w:pPr>
        <w:spacing w:line="360" w:lineRule="auto"/>
        <w:rPr>
          <w:rFonts w:ascii="仿宋" w:hAnsi="仿宋" w:eastAsia="仿宋" w:cs="仿宋"/>
          <w:kern w:val="0"/>
          <w:szCs w:val="21"/>
        </w:rPr>
      </w:pPr>
      <w:r>
        <w:rPr>
          <w:rFonts w:hint="eastAsia" w:ascii="仿宋" w:hAnsi="仿宋" w:eastAsia="仿宋" w:cs="仿宋"/>
          <w:kern w:val="0"/>
          <w:szCs w:val="21"/>
        </w:rPr>
        <w:t>17.1根据</w:t>
      </w:r>
      <w:r>
        <w:rPr>
          <w:rFonts w:hint="eastAsia" w:ascii="仿宋" w:hAnsi="仿宋" w:eastAsia="仿宋" w:cs="仿宋"/>
          <w:szCs w:val="21"/>
        </w:rPr>
        <w:t>《政府采购促进中小企业发展暂行办法》（财库[2011]181号）和《财政部司法部关于政府采购支持监狱企业发展有关问题的通知》（财库〔2014〕68号）</w:t>
      </w:r>
      <w:r>
        <w:rPr>
          <w:rFonts w:hint="eastAsia" w:ascii="仿宋" w:hAnsi="仿宋" w:eastAsia="仿宋" w:cs="仿宋"/>
          <w:kern w:val="0"/>
          <w:szCs w:val="21"/>
        </w:rPr>
        <w:t>的规定，对满足价格扣除条件且在谈判响应文件中提交了相应的</w:t>
      </w:r>
      <w:r>
        <w:rPr>
          <w:rFonts w:hint="eastAsia" w:ascii="仿宋" w:hAnsi="仿宋" w:eastAsia="仿宋" w:cs="仿宋"/>
          <w:szCs w:val="21"/>
        </w:rPr>
        <w:t>谈判供应商企业类型声明函、制造商企业类型声明函</w:t>
      </w:r>
      <w:r>
        <w:rPr>
          <w:rFonts w:hint="eastAsia" w:ascii="仿宋" w:hAnsi="仿宋" w:eastAsia="仿宋" w:cs="仿宋"/>
          <w:kern w:val="0"/>
          <w:szCs w:val="21"/>
        </w:rPr>
        <w:t>的小型和微型企业，其谈判最后报价将按扣除后的价格参与评审，具体扣除比例见</w:t>
      </w:r>
      <w:r>
        <w:rPr>
          <w:rFonts w:hint="eastAsia" w:ascii="仿宋" w:hAnsi="仿宋" w:eastAsia="仿宋" w:cs="仿宋"/>
          <w:kern w:val="0"/>
          <w:szCs w:val="21"/>
          <w:u w:val="single"/>
        </w:rPr>
        <w:t>前附表</w:t>
      </w:r>
      <w:r>
        <w:rPr>
          <w:rFonts w:hint="eastAsia" w:ascii="仿宋" w:hAnsi="仿宋" w:eastAsia="仿宋" w:cs="仿宋"/>
          <w:kern w:val="0"/>
          <w:szCs w:val="21"/>
        </w:rPr>
        <w:t>。</w:t>
      </w:r>
    </w:p>
    <w:p>
      <w:pPr>
        <w:pStyle w:val="2"/>
        <w:spacing w:before="0" w:after="0" w:line="360" w:lineRule="auto"/>
        <w:jc w:val="left"/>
        <w:rPr>
          <w:rFonts w:ascii="仿宋" w:hAnsi="仿宋" w:eastAsia="仿宋" w:cs="仿宋"/>
          <w:sz w:val="21"/>
          <w:szCs w:val="21"/>
        </w:rPr>
      </w:pPr>
      <w:bookmarkStart w:id="31" w:name="_Toc380479115"/>
      <w:r>
        <w:rPr>
          <w:rFonts w:hint="eastAsia" w:ascii="仿宋" w:hAnsi="仿宋" w:eastAsia="仿宋" w:cs="仿宋"/>
          <w:sz w:val="21"/>
          <w:szCs w:val="21"/>
        </w:rPr>
        <w:t>18．最终评价确定</w:t>
      </w:r>
      <w:bookmarkEnd w:id="31"/>
    </w:p>
    <w:p>
      <w:pPr>
        <w:spacing w:line="360" w:lineRule="auto"/>
        <w:rPr>
          <w:rFonts w:ascii="仿宋" w:hAnsi="仿宋" w:eastAsia="仿宋" w:cs="仿宋"/>
          <w:kern w:val="0"/>
          <w:szCs w:val="21"/>
        </w:rPr>
      </w:pPr>
      <w:r>
        <w:rPr>
          <w:rFonts w:hint="eastAsia" w:ascii="仿宋" w:hAnsi="仿宋" w:eastAsia="仿宋" w:cs="仿宋"/>
          <w:kern w:val="0"/>
          <w:szCs w:val="21"/>
        </w:rPr>
        <w:t>18.1 采购人有权对推荐为成交候选供应商的供应商的资格条件及价格计算方面进行审查。</w:t>
      </w:r>
    </w:p>
    <w:p>
      <w:pPr>
        <w:spacing w:line="360" w:lineRule="auto"/>
        <w:rPr>
          <w:rFonts w:ascii="仿宋" w:hAnsi="仿宋" w:eastAsia="仿宋" w:cs="仿宋"/>
          <w:kern w:val="0"/>
          <w:szCs w:val="21"/>
        </w:rPr>
      </w:pPr>
      <w:r>
        <w:rPr>
          <w:rFonts w:hint="eastAsia" w:ascii="仿宋" w:hAnsi="仿宋" w:eastAsia="仿宋" w:cs="仿宋"/>
          <w:kern w:val="0"/>
          <w:szCs w:val="21"/>
        </w:rPr>
        <w:t>18.2 采购人从评审报告提出的成交候选供应商中，根据质量和服务均能满足采购文件实质性响应要求且最后报价最低的原则确定成交供应商，也可以书面授权谈判小组直接确定成交供应商。</w:t>
      </w:r>
    </w:p>
    <w:p>
      <w:pPr>
        <w:pStyle w:val="2"/>
        <w:spacing w:before="0" w:after="0" w:line="360" w:lineRule="auto"/>
        <w:jc w:val="left"/>
        <w:rPr>
          <w:rFonts w:ascii="仿宋" w:hAnsi="仿宋" w:eastAsia="仿宋" w:cs="仿宋"/>
          <w:sz w:val="21"/>
          <w:szCs w:val="21"/>
        </w:rPr>
      </w:pPr>
      <w:bookmarkStart w:id="32" w:name="_Toc380479116"/>
      <w:r>
        <w:rPr>
          <w:rFonts w:hint="eastAsia" w:ascii="仿宋" w:hAnsi="仿宋" w:eastAsia="仿宋" w:cs="仿宋"/>
          <w:sz w:val="21"/>
          <w:szCs w:val="21"/>
        </w:rPr>
        <w:t>19．签订合同</w:t>
      </w:r>
      <w:bookmarkEnd w:id="32"/>
    </w:p>
    <w:p>
      <w:pPr>
        <w:spacing w:line="360" w:lineRule="auto"/>
        <w:rPr>
          <w:rFonts w:ascii="仿宋" w:hAnsi="仿宋" w:eastAsia="仿宋" w:cs="仿宋"/>
          <w:szCs w:val="21"/>
        </w:rPr>
      </w:pPr>
      <w:r>
        <w:rPr>
          <w:rFonts w:hint="eastAsia" w:ascii="仿宋" w:hAnsi="仿宋" w:eastAsia="仿宋" w:cs="仿宋"/>
          <w:szCs w:val="21"/>
        </w:rPr>
        <w:t>19.1 采购方将以书面形式向成交供应商发出结果通知。</w:t>
      </w:r>
    </w:p>
    <w:p>
      <w:pPr>
        <w:spacing w:line="360" w:lineRule="auto"/>
        <w:rPr>
          <w:rFonts w:ascii="仿宋" w:hAnsi="仿宋" w:eastAsia="仿宋" w:cs="仿宋"/>
          <w:szCs w:val="21"/>
        </w:rPr>
      </w:pPr>
      <w:r>
        <w:rPr>
          <w:rFonts w:hint="eastAsia" w:ascii="仿宋" w:hAnsi="仿宋" w:eastAsia="仿宋" w:cs="仿宋"/>
          <w:szCs w:val="21"/>
        </w:rPr>
        <w:t>19.2 成交结果通知书发出后，采购人将与成交供应商签订合同。</w:t>
      </w:r>
    </w:p>
    <w:p>
      <w:pPr>
        <w:pStyle w:val="2"/>
        <w:spacing w:before="0" w:after="0" w:line="360" w:lineRule="auto"/>
        <w:jc w:val="left"/>
        <w:rPr>
          <w:rFonts w:ascii="仿宋" w:hAnsi="仿宋" w:eastAsia="仿宋" w:cs="仿宋"/>
          <w:sz w:val="21"/>
          <w:szCs w:val="21"/>
        </w:rPr>
      </w:pPr>
      <w:bookmarkStart w:id="33" w:name="_Toc380479117"/>
      <w:r>
        <w:rPr>
          <w:rFonts w:hint="eastAsia" w:ascii="仿宋" w:hAnsi="仿宋" w:eastAsia="仿宋" w:cs="仿宋"/>
          <w:sz w:val="21"/>
          <w:szCs w:val="21"/>
        </w:rPr>
        <w:t>20. 采购终止</w:t>
      </w:r>
      <w:bookmarkEnd w:id="33"/>
    </w:p>
    <w:p>
      <w:pPr>
        <w:spacing w:line="360" w:lineRule="auto"/>
        <w:rPr>
          <w:rFonts w:ascii="仿宋" w:hAnsi="仿宋" w:eastAsia="仿宋" w:cs="仿宋"/>
          <w:szCs w:val="21"/>
        </w:rPr>
      </w:pPr>
      <w:r>
        <w:rPr>
          <w:rFonts w:hint="eastAsia" w:ascii="仿宋" w:hAnsi="仿宋" w:eastAsia="仿宋" w:cs="仿宋"/>
          <w:szCs w:val="21"/>
        </w:rPr>
        <w:t>20.1 出现下列情形之一的，采购人或者招标方将终止竞争性谈判采购活动，发布项目终止公告并说明原因，重新开展采购活动：</w:t>
      </w:r>
    </w:p>
    <w:p>
      <w:pPr>
        <w:spacing w:line="360" w:lineRule="auto"/>
        <w:rPr>
          <w:rFonts w:ascii="仿宋" w:hAnsi="仿宋" w:eastAsia="仿宋" w:cs="仿宋"/>
          <w:szCs w:val="21"/>
        </w:rPr>
      </w:pPr>
      <w:r>
        <w:rPr>
          <w:rFonts w:hint="eastAsia" w:ascii="仿宋" w:hAnsi="仿宋" w:eastAsia="仿宋" w:cs="仿宋"/>
          <w:szCs w:val="21"/>
        </w:rPr>
        <w:t>（1）在采购活动中因重大变故，采购任务取消的；</w:t>
      </w:r>
    </w:p>
    <w:p>
      <w:pPr>
        <w:spacing w:line="360" w:lineRule="auto"/>
        <w:rPr>
          <w:rFonts w:ascii="仿宋" w:hAnsi="仿宋" w:eastAsia="仿宋" w:cs="仿宋"/>
          <w:szCs w:val="21"/>
        </w:rPr>
      </w:pPr>
      <w:r>
        <w:rPr>
          <w:rFonts w:hint="eastAsia" w:ascii="仿宋" w:hAnsi="仿宋" w:eastAsia="仿宋" w:cs="仿宋"/>
          <w:szCs w:val="21"/>
        </w:rPr>
        <w:t>（2） 因情况变化，不再符合规定的竞争性谈判采购方式适用情形的；</w:t>
      </w:r>
    </w:p>
    <w:p>
      <w:pPr>
        <w:spacing w:line="360" w:lineRule="auto"/>
        <w:rPr>
          <w:rFonts w:ascii="仿宋" w:hAnsi="仿宋" w:eastAsia="仿宋" w:cs="仿宋"/>
          <w:szCs w:val="21"/>
        </w:rPr>
      </w:pPr>
      <w:r>
        <w:rPr>
          <w:rFonts w:hint="eastAsia" w:ascii="仿宋" w:hAnsi="仿宋" w:eastAsia="仿宋" w:cs="仿宋"/>
          <w:szCs w:val="21"/>
        </w:rPr>
        <w:t>（3）出现影响采购公正的违法、违规行为的；</w:t>
      </w:r>
    </w:p>
    <w:p>
      <w:pPr>
        <w:spacing w:line="360" w:lineRule="auto"/>
        <w:rPr>
          <w:rFonts w:ascii="仿宋" w:hAnsi="仿宋" w:eastAsia="仿宋" w:cs="仿宋"/>
          <w:szCs w:val="21"/>
        </w:rPr>
      </w:pPr>
      <w:r>
        <w:rPr>
          <w:rFonts w:hint="eastAsia" w:ascii="仿宋" w:hAnsi="仿宋" w:eastAsia="仿宋" w:cs="仿宋"/>
          <w:szCs w:val="21"/>
        </w:rPr>
        <w:t>（4）在采购过程中符合竞争要求的供应商或者报价未超过采购预算的供应商不足3家的，但公开招标的项目，招标过程中提交投标文件或者经评审实质性响应招标文件要求的供应商只有2家的情形除外；</w:t>
      </w:r>
    </w:p>
    <w:p>
      <w:pPr>
        <w:spacing w:line="360" w:lineRule="auto"/>
        <w:rPr>
          <w:rFonts w:ascii="仿宋" w:hAnsi="仿宋" w:eastAsia="仿宋" w:cs="仿宋"/>
          <w:szCs w:val="21"/>
        </w:rPr>
      </w:pPr>
      <w:r>
        <w:rPr>
          <w:rFonts w:hint="eastAsia" w:ascii="仿宋" w:hAnsi="仿宋" w:eastAsia="仿宋" w:cs="仿宋"/>
          <w:szCs w:val="21"/>
        </w:rPr>
        <w:t>（5）谈判小组未确认谈判文件的。</w:t>
      </w:r>
    </w:p>
    <w:p>
      <w:pPr>
        <w:spacing w:line="360" w:lineRule="auto"/>
        <w:ind w:left="435"/>
        <w:rPr>
          <w:rFonts w:ascii="仿宋" w:hAnsi="仿宋" w:eastAsia="仿宋" w:cs="仿宋"/>
          <w:szCs w:val="21"/>
        </w:rPr>
      </w:pPr>
    </w:p>
    <w:p>
      <w:pPr>
        <w:pStyle w:val="2"/>
        <w:spacing w:before="0" w:after="0" w:line="360" w:lineRule="auto"/>
        <w:rPr>
          <w:rFonts w:ascii="仿宋" w:hAnsi="仿宋" w:eastAsia="仿宋" w:cs="仿宋"/>
          <w:sz w:val="21"/>
          <w:szCs w:val="21"/>
        </w:rPr>
      </w:pPr>
      <w:bookmarkStart w:id="34" w:name="_Toc380479120"/>
      <w:r>
        <w:rPr>
          <w:rFonts w:hint="eastAsia" w:ascii="仿宋" w:hAnsi="仿宋" w:eastAsia="仿宋" w:cs="仿宋"/>
          <w:sz w:val="21"/>
          <w:szCs w:val="21"/>
        </w:rPr>
        <w:t>第三章  采购需求</w:t>
      </w:r>
      <w:bookmarkEnd w:id="34"/>
    </w:p>
    <w:p>
      <w:pPr>
        <w:pStyle w:val="2"/>
        <w:spacing w:before="0" w:after="0" w:line="360" w:lineRule="auto"/>
        <w:jc w:val="left"/>
        <w:rPr>
          <w:rFonts w:ascii="仿宋" w:hAnsi="仿宋" w:eastAsia="仿宋" w:cs="仿宋"/>
          <w:kern w:val="0"/>
          <w:sz w:val="21"/>
          <w:szCs w:val="21"/>
        </w:rPr>
      </w:pPr>
      <w:r>
        <w:rPr>
          <w:rFonts w:hint="eastAsia" w:ascii="仿宋" w:hAnsi="仿宋" w:eastAsia="仿宋" w:cs="仿宋"/>
          <w:kern w:val="0"/>
          <w:sz w:val="21"/>
          <w:szCs w:val="21"/>
        </w:rPr>
        <w:t>一、采购内容</w:t>
      </w:r>
    </w:p>
    <w:tbl>
      <w:tblPr>
        <w:tblStyle w:val="49"/>
        <w:tblW w:w="9606" w:type="dxa"/>
        <w:tblInd w:w="0" w:type="dxa"/>
        <w:tblLayout w:type="fixed"/>
        <w:tblCellMar>
          <w:top w:w="0" w:type="dxa"/>
          <w:left w:w="108" w:type="dxa"/>
          <w:bottom w:w="0" w:type="dxa"/>
          <w:right w:w="108" w:type="dxa"/>
        </w:tblCellMar>
      </w:tblPr>
      <w:tblGrid>
        <w:gridCol w:w="752"/>
        <w:gridCol w:w="1906"/>
        <w:gridCol w:w="1134"/>
        <w:gridCol w:w="1135"/>
        <w:gridCol w:w="1276"/>
        <w:gridCol w:w="1276"/>
        <w:gridCol w:w="1276"/>
        <w:gridCol w:w="851"/>
      </w:tblGrid>
      <w:tr>
        <w:tblPrEx>
          <w:tblLayout w:type="fixed"/>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序号</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作品名称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画芯尺寸（cm）</w:t>
            </w:r>
          </w:p>
        </w:tc>
        <w:tc>
          <w:tcPr>
            <w:tcW w:w="113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画框尺寸（cm）</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画芯材质</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画框材质</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龙骨及背板</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数量</w:t>
            </w:r>
          </w:p>
        </w:tc>
      </w:tr>
      <w:tr>
        <w:tblPrEx>
          <w:tblLayout w:type="fixed"/>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1</w:t>
            </w:r>
          </w:p>
        </w:tc>
        <w:tc>
          <w:tcPr>
            <w:tcW w:w="1906"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长城内外尽朝晖</w:t>
            </w:r>
            <w:bookmarkStart w:id="37" w:name="_GoBack"/>
            <w:bookmarkEnd w:id="37"/>
          </w:p>
        </w:tc>
        <w:tc>
          <w:tcPr>
            <w:tcW w:w="1134"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143x220</w:t>
            </w:r>
          </w:p>
        </w:tc>
        <w:tc>
          <w:tcPr>
            <w:tcW w:w="1135"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183x280</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雅宣裱褙</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宽4cm厚4.5cm榆木</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3cm松木龙骨/3cm松木背板</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1</w:t>
            </w:r>
          </w:p>
        </w:tc>
      </w:tr>
      <w:tr>
        <w:tblPrEx>
          <w:tblLayout w:type="fixed"/>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2</w:t>
            </w:r>
          </w:p>
        </w:tc>
        <w:tc>
          <w:tcPr>
            <w:tcW w:w="1906"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九十年代第一春</w:t>
            </w:r>
          </w:p>
        </w:tc>
        <w:tc>
          <w:tcPr>
            <w:tcW w:w="1134"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169x288</w:t>
            </w:r>
          </w:p>
        </w:tc>
        <w:tc>
          <w:tcPr>
            <w:tcW w:w="1135"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209x348</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雅宣裱褙</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宽4cm厚4.5cm榆木</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3cm松木龙骨/3cm松木背板</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1</w:t>
            </w:r>
          </w:p>
        </w:tc>
      </w:tr>
      <w:tr>
        <w:tblPrEx>
          <w:tblLayout w:type="fixed"/>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Cs w:val="21"/>
              </w:rPr>
            </w:pPr>
            <w:r>
              <w:rPr>
                <w:rFonts w:hint="eastAsia" w:ascii="仿宋" w:hAnsi="仿宋" w:eastAsia="仿宋" w:cs="仿宋"/>
                <w:szCs w:val="21"/>
              </w:rPr>
              <w:t>3</w:t>
            </w:r>
          </w:p>
        </w:tc>
        <w:tc>
          <w:tcPr>
            <w:tcW w:w="1906"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国家地理125周年图片</w:t>
            </w:r>
          </w:p>
        </w:tc>
        <w:tc>
          <w:tcPr>
            <w:tcW w:w="1134"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48x33</w:t>
            </w:r>
          </w:p>
        </w:tc>
        <w:tc>
          <w:tcPr>
            <w:tcW w:w="1135"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60x45</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Innova IFA27相纸</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宽1.5cm厚3.5cm白蜡木</w:t>
            </w:r>
          </w:p>
        </w:tc>
        <w:tc>
          <w:tcPr>
            <w:tcW w:w="1276"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无龙骨/3mm合成木背板</w:t>
            </w:r>
          </w:p>
        </w:tc>
        <w:tc>
          <w:tcPr>
            <w:tcW w:w="851" w:type="dxa"/>
            <w:tcBorders>
              <w:top w:val="nil"/>
              <w:left w:val="nil"/>
              <w:bottom w:val="single" w:color="auto" w:sz="4" w:space="0"/>
              <w:right w:val="single" w:color="auto" w:sz="4" w:space="0"/>
            </w:tcBorders>
            <w:shd w:val="clear" w:color="auto" w:fill="auto"/>
            <w:noWrap/>
            <w:vAlign w:val="center"/>
          </w:tcPr>
          <w:p>
            <w:pPr>
              <w:spacing w:line="360" w:lineRule="auto"/>
              <w:rPr>
                <w:rFonts w:hint="eastAsia" w:ascii="仿宋" w:hAnsi="仿宋" w:eastAsia="仿宋" w:cs="仿宋"/>
                <w:szCs w:val="21"/>
              </w:rPr>
            </w:pPr>
            <w:r>
              <w:rPr>
                <w:rFonts w:hint="eastAsia" w:ascii="仿宋" w:hAnsi="仿宋" w:eastAsia="仿宋" w:cs="仿宋"/>
                <w:szCs w:val="21"/>
              </w:rPr>
              <w:t>150</w:t>
            </w:r>
          </w:p>
        </w:tc>
      </w:tr>
    </w:tbl>
    <w:p>
      <w:pPr>
        <w:pStyle w:val="2"/>
        <w:spacing w:before="0" w:after="0" w:line="360" w:lineRule="auto"/>
        <w:jc w:val="left"/>
        <w:rPr>
          <w:rFonts w:ascii="仿宋" w:hAnsi="仿宋" w:eastAsia="仿宋" w:cs="仿宋"/>
          <w:kern w:val="0"/>
          <w:sz w:val="21"/>
          <w:szCs w:val="21"/>
        </w:rPr>
      </w:pPr>
      <w:r>
        <w:rPr>
          <w:rFonts w:hint="eastAsia" w:ascii="仿宋" w:hAnsi="仿宋" w:eastAsia="仿宋" w:cs="仿宋"/>
          <w:kern w:val="0"/>
          <w:sz w:val="21"/>
          <w:szCs w:val="21"/>
        </w:rPr>
        <w:t>二、</w:t>
      </w:r>
      <w:bookmarkStart w:id="35" w:name="_Toc452119193"/>
      <w:bookmarkStart w:id="36" w:name="_Toc380479121"/>
      <w:r>
        <w:rPr>
          <w:rFonts w:hint="eastAsia" w:ascii="仿宋" w:hAnsi="仿宋" w:eastAsia="仿宋" w:cs="仿宋"/>
          <w:kern w:val="0"/>
          <w:sz w:val="21"/>
          <w:szCs w:val="21"/>
        </w:rPr>
        <w:t>付款条件</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付款方式：采购的产品到现场安装完成后，甲方支付合同全款。</w:t>
      </w:r>
    </w:p>
    <w:p>
      <w:pPr>
        <w:pStyle w:val="2"/>
        <w:spacing w:before="0" w:after="0" w:line="360" w:lineRule="auto"/>
        <w:jc w:val="left"/>
        <w:rPr>
          <w:rFonts w:ascii="仿宋" w:hAnsi="仿宋" w:eastAsia="仿宋" w:cs="仿宋"/>
          <w:kern w:val="0"/>
          <w:sz w:val="21"/>
          <w:szCs w:val="21"/>
        </w:rPr>
      </w:pPr>
      <w:r>
        <w:rPr>
          <w:rFonts w:hint="eastAsia" w:ascii="仿宋" w:hAnsi="仿宋" w:eastAsia="仿宋" w:cs="仿宋"/>
          <w:kern w:val="0"/>
          <w:sz w:val="21"/>
          <w:szCs w:val="21"/>
        </w:rPr>
        <w:t>三、质保期</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期限：1年，起始日期为安装验收完毕后当日。</w:t>
      </w:r>
    </w:p>
    <w:p>
      <w:pPr>
        <w:pStyle w:val="2"/>
        <w:spacing w:before="0" w:after="0" w:line="360" w:lineRule="auto"/>
        <w:rPr>
          <w:rFonts w:ascii="仿宋" w:hAnsi="仿宋" w:eastAsia="仿宋" w:cs="仿宋"/>
          <w:sz w:val="21"/>
          <w:szCs w:val="21"/>
        </w:rPr>
      </w:pPr>
      <w:r>
        <w:rPr>
          <w:rFonts w:hint="eastAsia" w:ascii="仿宋" w:hAnsi="仿宋" w:eastAsia="仿宋" w:cs="仿宋"/>
          <w:kern w:val="0"/>
          <w:sz w:val="21"/>
          <w:szCs w:val="21"/>
        </w:rPr>
        <w:br w:type="page"/>
      </w:r>
      <w:r>
        <w:rPr>
          <w:rFonts w:hint="eastAsia" w:ascii="仿宋" w:hAnsi="仿宋" w:eastAsia="仿宋" w:cs="仿宋"/>
          <w:sz w:val="21"/>
          <w:szCs w:val="21"/>
        </w:rPr>
        <w:t>第四章  附  件</w:t>
      </w:r>
    </w:p>
    <w:p>
      <w:pPr>
        <w:spacing w:line="360" w:lineRule="auto"/>
        <w:jc w:val="center"/>
        <w:rPr>
          <w:rFonts w:ascii="仿宋" w:hAnsi="仿宋" w:eastAsia="仿宋" w:cs="仿宋"/>
          <w:b/>
          <w:bCs/>
          <w:szCs w:val="21"/>
        </w:rPr>
      </w:pPr>
      <w:r>
        <w:rPr>
          <w:rFonts w:hint="eastAsia" w:ascii="仿宋" w:hAnsi="仿宋" w:eastAsia="仿宋" w:cs="仿宋"/>
          <w:b/>
          <w:szCs w:val="21"/>
        </w:rPr>
        <w:t>（谈判响应文件格式）</w:t>
      </w:r>
    </w:p>
    <w:p>
      <w:pPr>
        <w:spacing w:line="360" w:lineRule="auto"/>
        <w:rPr>
          <w:rFonts w:ascii="仿宋" w:hAnsi="仿宋" w:eastAsia="仿宋" w:cs="仿宋"/>
          <w:b/>
          <w:szCs w:val="21"/>
        </w:rPr>
      </w:pPr>
      <w:r>
        <w:rPr>
          <w:rFonts w:hint="eastAsia" w:ascii="仿宋" w:hAnsi="仿宋" w:eastAsia="仿宋" w:cs="仿宋"/>
          <w:b/>
          <w:szCs w:val="21"/>
        </w:rPr>
        <w:t>附件一：</w:t>
      </w:r>
    </w:p>
    <w:p>
      <w:pPr>
        <w:snapToGrid w:val="0"/>
        <w:spacing w:line="360" w:lineRule="auto"/>
        <w:jc w:val="center"/>
        <w:rPr>
          <w:rFonts w:ascii="仿宋" w:hAnsi="仿宋" w:eastAsia="仿宋" w:cs="仿宋"/>
          <w:szCs w:val="21"/>
        </w:rPr>
      </w:pPr>
      <w:r>
        <w:rPr>
          <w:rFonts w:hint="eastAsia" w:ascii="仿宋" w:hAnsi="仿宋" w:eastAsia="仿宋" w:cs="仿宋"/>
          <w:szCs w:val="21"/>
        </w:rPr>
        <w:t>报价函</w:t>
      </w: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r>
        <w:rPr>
          <w:rFonts w:hint="eastAsia" w:ascii="仿宋" w:hAnsi="仿宋" w:eastAsia="仿宋" w:cs="仿宋"/>
          <w:szCs w:val="21"/>
        </w:rPr>
        <w:t>致：防灾科技学院</w:t>
      </w:r>
    </w:p>
    <w:p>
      <w:pPr>
        <w:snapToGrid w:val="0"/>
        <w:spacing w:line="360" w:lineRule="auto"/>
        <w:ind w:firstLine="552"/>
        <w:rPr>
          <w:rFonts w:ascii="仿宋" w:hAnsi="仿宋" w:eastAsia="仿宋" w:cs="仿宋"/>
          <w:szCs w:val="21"/>
        </w:rPr>
      </w:pPr>
      <w:r>
        <w:rPr>
          <w:rFonts w:hint="eastAsia" w:ascii="仿宋" w:hAnsi="仿宋" w:eastAsia="仿宋" w:cs="仿宋"/>
          <w:spacing w:val="6"/>
          <w:szCs w:val="21"/>
        </w:rPr>
        <w:t>在审阅了</w:t>
      </w:r>
      <w:r>
        <w:rPr>
          <w:rFonts w:hint="eastAsia" w:ascii="仿宋" w:hAnsi="仿宋" w:eastAsia="仿宋" w:cs="仿宋"/>
          <w:spacing w:val="6"/>
          <w:szCs w:val="21"/>
          <w:u w:val="single"/>
        </w:rPr>
        <w:t xml:space="preserve">    （项目名称）    </w:t>
      </w:r>
      <w:r>
        <w:rPr>
          <w:rFonts w:hint="eastAsia" w:ascii="仿宋" w:hAnsi="仿宋" w:eastAsia="仿宋" w:cs="仿宋"/>
          <w:spacing w:val="6"/>
          <w:szCs w:val="21"/>
        </w:rPr>
        <w:t>谈判文件（项目编号：</w:t>
      </w:r>
      <w:r>
        <w:rPr>
          <w:rFonts w:hint="eastAsia" w:ascii="仿宋" w:hAnsi="仿宋" w:eastAsia="仿宋" w:cs="仿宋"/>
          <w:spacing w:val="6"/>
          <w:szCs w:val="21"/>
          <w:u w:val="single"/>
        </w:rPr>
        <w:t xml:space="preserve">      </w:t>
      </w:r>
      <w:r>
        <w:rPr>
          <w:rFonts w:hint="eastAsia" w:ascii="仿宋" w:hAnsi="仿宋" w:eastAsia="仿宋" w:cs="仿宋"/>
          <w:spacing w:val="6"/>
          <w:szCs w:val="21"/>
        </w:rPr>
        <w:t>）</w:t>
      </w:r>
      <w:r>
        <w:rPr>
          <w:rFonts w:hint="eastAsia" w:ascii="仿宋" w:hAnsi="仿宋" w:eastAsia="仿宋" w:cs="仿宋"/>
          <w:spacing w:val="20"/>
          <w:szCs w:val="21"/>
        </w:rPr>
        <w:t>，我方下述签字人将按照</w:t>
      </w:r>
      <w:r>
        <w:rPr>
          <w:rFonts w:hint="eastAsia" w:ascii="仿宋" w:hAnsi="仿宋" w:eastAsia="仿宋" w:cs="仿宋"/>
          <w:b/>
          <w:spacing w:val="20"/>
          <w:szCs w:val="21"/>
        </w:rPr>
        <w:t>谈判文件</w:t>
      </w:r>
      <w:r>
        <w:rPr>
          <w:rFonts w:hint="eastAsia" w:ascii="仿宋" w:hAnsi="仿宋" w:eastAsia="仿宋" w:cs="仿宋"/>
          <w:spacing w:val="20"/>
          <w:szCs w:val="21"/>
        </w:rPr>
        <w:t>的规定提供总价</w:t>
      </w:r>
      <w:r>
        <w:rPr>
          <w:rFonts w:hint="eastAsia" w:ascii="仿宋" w:hAnsi="仿宋" w:eastAsia="仿宋" w:cs="仿宋"/>
          <w:szCs w:val="21"/>
        </w:rPr>
        <w:t>为</w:t>
      </w:r>
      <w:r>
        <w:rPr>
          <w:rFonts w:hint="eastAsia" w:ascii="仿宋" w:hAnsi="仿宋" w:eastAsia="仿宋" w:cs="仿宋"/>
          <w:szCs w:val="21"/>
          <w:u w:val="single"/>
        </w:rPr>
        <w:t xml:space="preserve">              （用文字和数字表示的总价）</w:t>
      </w:r>
      <w:r>
        <w:rPr>
          <w:rFonts w:hint="eastAsia" w:ascii="仿宋" w:hAnsi="仿宋" w:eastAsia="仿宋" w:cs="仿宋"/>
          <w:szCs w:val="21"/>
        </w:rPr>
        <w:t>的服务，其中由小型和微型企业提供服务的价格为</w:t>
      </w:r>
      <w:r>
        <w:rPr>
          <w:rFonts w:hint="eastAsia" w:ascii="仿宋" w:hAnsi="仿宋" w:eastAsia="仿宋" w:cs="仿宋"/>
          <w:szCs w:val="21"/>
          <w:u w:val="single"/>
        </w:rPr>
        <w:t xml:space="preserve">      （用文字和数字表示）</w:t>
      </w:r>
      <w:r>
        <w:rPr>
          <w:rFonts w:hint="eastAsia" w:ascii="仿宋" w:hAnsi="仿宋" w:eastAsia="仿宋" w:cs="仿宋"/>
          <w:szCs w:val="21"/>
        </w:rPr>
        <w:t>，占总价的</w:t>
      </w:r>
      <w:r>
        <w:rPr>
          <w:rFonts w:hint="eastAsia" w:ascii="仿宋" w:hAnsi="仿宋" w:eastAsia="仿宋" w:cs="仿宋"/>
          <w:szCs w:val="21"/>
          <w:u w:val="single"/>
        </w:rPr>
        <w:t xml:space="preserve">   %</w:t>
      </w:r>
      <w:r>
        <w:rPr>
          <w:rFonts w:hint="eastAsia" w:ascii="仿宋" w:hAnsi="仿宋" w:eastAsia="仿宋" w:cs="仿宋"/>
          <w:szCs w:val="21"/>
        </w:rPr>
        <w:t>。并作出如下承诺：</w:t>
      </w:r>
    </w:p>
    <w:p>
      <w:pPr>
        <w:snapToGrid w:val="0"/>
        <w:spacing w:line="360" w:lineRule="auto"/>
        <w:ind w:firstLine="552"/>
        <w:rPr>
          <w:rFonts w:ascii="仿宋" w:hAnsi="仿宋" w:eastAsia="仿宋" w:cs="仿宋"/>
          <w:szCs w:val="21"/>
        </w:rPr>
      </w:pPr>
      <w:r>
        <w:rPr>
          <w:rFonts w:hint="eastAsia" w:ascii="仿宋" w:hAnsi="仿宋" w:eastAsia="仿宋" w:cs="仿宋"/>
          <w:szCs w:val="21"/>
        </w:rPr>
        <w:t>1、如果我们被确定为成交供应商，我们将按照谈判后双方确认的合同条款的要求执行。</w:t>
      </w:r>
    </w:p>
    <w:p>
      <w:pPr>
        <w:snapToGrid w:val="0"/>
        <w:spacing w:line="360" w:lineRule="auto"/>
        <w:ind w:firstLine="552"/>
        <w:rPr>
          <w:rFonts w:ascii="仿宋" w:hAnsi="仿宋" w:eastAsia="仿宋" w:cs="仿宋"/>
          <w:szCs w:val="21"/>
        </w:rPr>
      </w:pPr>
      <w:r>
        <w:rPr>
          <w:rFonts w:hint="eastAsia" w:ascii="仿宋" w:hAnsi="仿宋" w:eastAsia="仿宋" w:cs="仿宋"/>
          <w:szCs w:val="21"/>
        </w:rPr>
        <w:t>2、我方保证忠实地执行买、卖双方所签的合同，并承担合同规定的责任和义务。</w:t>
      </w:r>
    </w:p>
    <w:p>
      <w:pPr>
        <w:snapToGrid w:val="0"/>
        <w:spacing w:line="360" w:lineRule="auto"/>
        <w:ind w:firstLine="552"/>
        <w:rPr>
          <w:rFonts w:ascii="仿宋" w:hAnsi="仿宋" w:eastAsia="仿宋" w:cs="仿宋"/>
          <w:szCs w:val="21"/>
        </w:rPr>
      </w:pPr>
      <w:r>
        <w:rPr>
          <w:rFonts w:hint="eastAsia" w:ascii="仿宋" w:hAnsi="仿宋" w:eastAsia="仿宋" w:cs="仿宋"/>
          <w:szCs w:val="21"/>
        </w:rPr>
        <w:t>3、我方愿意向贵方提供任何与此报价有关的数据、情况和技术资料。</w:t>
      </w:r>
    </w:p>
    <w:p>
      <w:pPr>
        <w:snapToGrid w:val="0"/>
        <w:spacing w:line="360" w:lineRule="auto"/>
        <w:ind w:firstLine="552"/>
        <w:rPr>
          <w:rFonts w:ascii="仿宋" w:hAnsi="仿宋" w:eastAsia="仿宋" w:cs="仿宋"/>
          <w:szCs w:val="21"/>
        </w:rPr>
      </w:pPr>
      <w:r>
        <w:rPr>
          <w:rFonts w:hint="eastAsia" w:ascii="仿宋" w:hAnsi="仿宋" w:eastAsia="仿宋" w:cs="仿宋"/>
          <w:szCs w:val="21"/>
        </w:rPr>
        <w:t>4、我方提交的响应文件及报价自提交日期起</w:t>
      </w:r>
      <w:r>
        <w:rPr>
          <w:rFonts w:hint="eastAsia" w:ascii="仿宋" w:hAnsi="仿宋" w:eastAsia="仿宋" w:cs="仿宋"/>
          <w:szCs w:val="21"/>
          <w:u w:val="single"/>
        </w:rPr>
        <w:t xml:space="preserve">    </w:t>
      </w:r>
      <w:r>
        <w:rPr>
          <w:rFonts w:hint="eastAsia" w:ascii="仿宋" w:hAnsi="仿宋" w:eastAsia="仿宋" w:cs="仿宋"/>
          <w:szCs w:val="21"/>
        </w:rPr>
        <w:t>天有效，并对我方具有约束力。</w:t>
      </w:r>
    </w:p>
    <w:p>
      <w:pPr>
        <w:snapToGrid w:val="0"/>
        <w:spacing w:line="360" w:lineRule="auto"/>
        <w:ind w:firstLine="552"/>
        <w:rPr>
          <w:rFonts w:ascii="仿宋" w:hAnsi="仿宋" w:eastAsia="仿宋" w:cs="仿宋"/>
          <w:szCs w:val="21"/>
        </w:rPr>
      </w:pPr>
      <w:r>
        <w:rPr>
          <w:rFonts w:hint="eastAsia" w:ascii="仿宋" w:hAnsi="仿宋" w:eastAsia="仿宋" w:cs="仿宋"/>
          <w:szCs w:val="21"/>
        </w:rPr>
        <w:t>5、在正式合同准备好和签字前，本报价函及贵方的书面成交结果通知书将构成约束我们双方的合同内容。</w:t>
      </w:r>
    </w:p>
    <w:p>
      <w:pPr>
        <w:pStyle w:val="23"/>
        <w:snapToGrid w:val="0"/>
        <w:spacing w:after="0" w:line="360" w:lineRule="auto"/>
        <w:rPr>
          <w:rFonts w:ascii="仿宋" w:hAnsi="仿宋" w:eastAsia="仿宋" w:cs="仿宋"/>
          <w:b/>
          <w:szCs w:val="21"/>
        </w:rPr>
      </w:pPr>
    </w:p>
    <w:p>
      <w:pPr>
        <w:snapToGrid w:val="0"/>
        <w:spacing w:line="360" w:lineRule="auto"/>
        <w:ind w:firstLine="552"/>
        <w:rPr>
          <w:rFonts w:ascii="仿宋" w:hAnsi="仿宋" w:eastAsia="仿宋" w:cs="仿宋"/>
          <w:szCs w:val="21"/>
        </w:rPr>
      </w:pPr>
      <w:r>
        <w:rPr>
          <w:rFonts w:hint="eastAsia" w:ascii="仿宋" w:hAnsi="仿宋" w:eastAsia="仿宋" w:cs="仿宋"/>
          <w:szCs w:val="21"/>
        </w:rPr>
        <w:t>出具日期：</w:t>
      </w:r>
      <w:r>
        <w:rPr>
          <w:rFonts w:hint="eastAsia" w:ascii="仿宋" w:hAnsi="仿宋" w:eastAsia="仿宋" w:cs="仿宋"/>
          <w:szCs w:val="21"/>
          <w:u w:val="single"/>
        </w:rPr>
        <w:t xml:space="preserve">                 </w:t>
      </w:r>
    </w:p>
    <w:p>
      <w:pPr>
        <w:snapToGrid w:val="0"/>
        <w:spacing w:line="360" w:lineRule="auto"/>
        <w:ind w:firstLine="552"/>
        <w:rPr>
          <w:rFonts w:ascii="仿宋" w:hAnsi="仿宋" w:eastAsia="仿宋" w:cs="仿宋"/>
          <w:szCs w:val="21"/>
        </w:rPr>
      </w:pPr>
      <w:r>
        <w:rPr>
          <w:rFonts w:hint="eastAsia" w:ascii="仿宋" w:hAnsi="仿宋" w:eastAsia="仿宋" w:cs="仿宋"/>
          <w:szCs w:val="21"/>
        </w:rPr>
        <w:t>授权代表签字：</w:t>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pPr>
        <w:snapToGrid w:val="0"/>
        <w:spacing w:line="360" w:lineRule="auto"/>
        <w:ind w:firstLine="552"/>
        <w:rPr>
          <w:rFonts w:ascii="仿宋" w:hAnsi="仿宋" w:eastAsia="仿宋" w:cs="仿宋"/>
          <w:szCs w:val="21"/>
          <w:u w:val="single"/>
        </w:rPr>
        <w:sectPr>
          <w:footerReference r:id="rId3" w:type="default"/>
          <w:pgSz w:w="11907" w:h="16840"/>
          <w:pgMar w:top="1440" w:right="1304" w:bottom="1440" w:left="1418" w:header="851" w:footer="992" w:gutter="0"/>
          <w:cols w:space="720" w:num="1"/>
          <w:docGrid w:type="linesAndChars" w:linePitch="312" w:charSpace="0"/>
        </w:sectPr>
      </w:pPr>
      <w:r>
        <w:rPr>
          <w:rFonts w:hint="eastAsia" w:ascii="仿宋" w:hAnsi="仿宋" w:eastAsia="仿宋" w:cs="仿宋"/>
          <w:szCs w:val="21"/>
        </w:rPr>
        <w:t>公章：</w:t>
      </w:r>
      <w:r>
        <w:rPr>
          <w:rFonts w:hint="eastAsia" w:ascii="仿宋" w:hAnsi="仿宋" w:eastAsia="仿宋" w:cs="仿宋"/>
          <w:szCs w:val="21"/>
          <w:u w:val="single"/>
        </w:rPr>
        <w:t xml:space="preserve">                     </w:t>
      </w:r>
    </w:p>
    <w:p>
      <w:pPr>
        <w:spacing w:line="360" w:lineRule="auto"/>
        <w:rPr>
          <w:rFonts w:ascii="仿宋" w:hAnsi="仿宋" w:eastAsia="仿宋" w:cs="仿宋"/>
          <w:b/>
          <w:szCs w:val="21"/>
        </w:rPr>
      </w:pPr>
      <w:r>
        <w:rPr>
          <w:rFonts w:hint="eastAsia" w:ascii="仿宋" w:hAnsi="仿宋" w:eastAsia="仿宋" w:cs="仿宋"/>
          <w:b/>
          <w:szCs w:val="21"/>
        </w:rPr>
        <w:t>附件二：</w:t>
      </w:r>
    </w:p>
    <w:p>
      <w:pPr>
        <w:spacing w:line="360" w:lineRule="auto"/>
        <w:jc w:val="center"/>
        <w:rPr>
          <w:rFonts w:ascii="仿宋" w:hAnsi="仿宋" w:eastAsia="仿宋" w:cs="仿宋"/>
          <w:szCs w:val="21"/>
        </w:rPr>
      </w:pPr>
      <w:r>
        <w:rPr>
          <w:rFonts w:hint="eastAsia" w:ascii="仿宋" w:hAnsi="仿宋" w:eastAsia="仿宋" w:cs="仿宋"/>
          <w:b/>
          <w:szCs w:val="21"/>
        </w:rPr>
        <w:t>参考报价表</w:t>
      </w:r>
    </w:p>
    <w:p>
      <w:pPr>
        <w:spacing w:line="360" w:lineRule="auto"/>
        <w:ind w:firstLine="420" w:firstLineChars="200"/>
        <w:rPr>
          <w:rFonts w:ascii="仿宋" w:hAnsi="仿宋" w:eastAsia="仿宋" w:cs="仿宋"/>
          <w:b/>
          <w:szCs w:val="21"/>
        </w:rPr>
      </w:pPr>
      <w:r>
        <w:rPr>
          <w:rFonts w:hint="eastAsia" w:ascii="仿宋" w:hAnsi="仿宋" w:eastAsia="仿宋" w:cs="仿宋"/>
          <w:b/>
          <w:szCs w:val="21"/>
        </w:rPr>
        <w:t>项目编号：                           价格单位：人民币元</w:t>
      </w:r>
    </w:p>
    <w:tbl>
      <w:tblPr>
        <w:tblStyle w:val="49"/>
        <w:tblW w:w="8410" w:type="dxa"/>
        <w:jc w:val="center"/>
        <w:tblInd w:w="0" w:type="dxa"/>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23"/>
        <w:gridCol w:w="1506"/>
        <w:gridCol w:w="2008"/>
        <w:gridCol w:w="1890"/>
      </w:tblGrid>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283" w:type="dxa"/>
            <w:vAlign w:val="center"/>
          </w:tcPr>
          <w:p>
            <w:pPr>
              <w:widowControl/>
              <w:spacing w:line="360" w:lineRule="auto"/>
              <w:jc w:val="center"/>
              <w:rPr>
                <w:rFonts w:ascii="仿宋" w:hAnsi="仿宋" w:eastAsia="仿宋" w:cs="仿宋"/>
                <w:b/>
                <w:kern w:val="0"/>
                <w:szCs w:val="21"/>
              </w:rPr>
            </w:pPr>
            <w:r>
              <w:rPr>
                <w:rFonts w:hint="eastAsia" w:ascii="仿宋" w:hAnsi="仿宋" w:eastAsia="仿宋" w:cs="仿宋"/>
                <w:b/>
                <w:kern w:val="0"/>
                <w:szCs w:val="21"/>
              </w:rPr>
              <w:t>序号</w:t>
            </w:r>
          </w:p>
        </w:tc>
        <w:tc>
          <w:tcPr>
            <w:tcW w:w="1723" w:type="dxa"/>
            <w:vAlign w:val="center"/>
          </w:tcPr>
          <w:p>
            <w:pPr>
              <w:widowControl/>
              <w:spacing w:line="360" w:lineRule="auto"/>
              <w:jc w:val="center"/>
              <w:rPr>
                <w:rFonts w:ascii="仿宋" w:hAnsi="仿宋" w:eastAsia="仿宋" w:cs="仿宋"/>
                <w:b/>
                <w:kern w:val="0"/>
                <w:szCs w:val="21"/>
              </w:rPr>
            </w:pPr>
            <w:r>
              <w:rPr>
                <w:rFonts w:hint="eastAsia" w:ascii="仿宋" w:hAnsi="仿宋" w:eastAsia="仿宋" w:cs="仿宋"/>
                <w:b/>
                <w:kern w:val="0"/>
                <w:szCs w:val="21"/>
              </w:rPr>
              <w:t>分项名称</w:t>
            </w:r>
          </w:p>
        </w:tc>
        <w:tc>
          <w:tcPr>
            <w:tcW w:w="1506" w:type="dxa"/>
            <w:vAlign w:val="center"/>
          </w:tcPr>
          <w:p>
            <w:pPr>
              <w:widowControl/>
              <w:spacing w:line="360" w:lineRule="auto"/>
              <w:jc w:val="center"/>
              <w:rPr>
                <w:rFonts w:ascii="仿宋" w:hAnsi="仿宋" w:eastAsia="仿宋" w:cs="仿宋"/>
                <w:b/>
                <w:kern w:val="0"/>
                <w:szCs w:val="21"/>
              </w:rPr>
            </w:pPr>
            <w:r>
              <w:rPr>
                <w:rFonts w:hint="eastAsia" w:ascii="仿宋" w:hAnsi="仿宋" w:eastAsia="仿宋" w:cs="仿宋"/>
                <w:b/>
                <w:kern w:val="0"/>
                <w:szCs w:val="21"/>
              </w:rPr>
              <w:t>单价</w:t>
            </w:r>
          </w:p>
        </w:tc>
        <w:tc>
          <w:tcPr>
            <w:tcW w:w="2008" w:type="dxa"/>
            <w:vAlign w:val="center"/>
          </w:tcPr>
          <w:p>
            <w:pPr>
              <w:widowControl/>
              <w:spacing w:line="360" w:lineRule="auto"/>
              <w:jc w:val="center"/>
              <w:rPr>
                <w:rFonts w:ascii="仿宋" w:hAnsi="仿宋" w:eastAsia="仿宋" w:cs="仿宋"/>
                <w:b/>
                <w:kern w:val="0"/>
                <w:szCs w:val="21"/>
              </w:rPr>
            </w:pPr>
            <w:r>
              <w:rPr>
                <w:rFonts w:hint="eastAsia" w:ascii="仿宋" w:hAnsi="仿宋" w:eastAsia="仿宋" w:cs="仿宋"/>
                <w:b/>
                <w:kern w:val="0"/>
                <w:szCs w:val="21"/>
              </w:rPr>
              <w:t>总价</w:t>
            </w:r>
          </w:p>
        </w:tc>
        <w:tc>
          <w:tcPr>
            <w:tcW w:w="1890" w:type="dxa"/>
            <w:vAlign w:val="center"/>
          </w:tcPr>
          <w:p>
            <w:pPr>
              <w:widowControl/>
              <w:spacing w:line="360" w:lineRule="auto"/>
              <w:jc w:val="center"/>
              <w:rPr>
                <w:rFonts w:ascii="仿宋" w:hAnsi="仿宋" w:eastAsia="仿宋" w:cs="仿宋"/>
                <w:b/>
                <w:kern w:val="0"/>
                <w:szCs w:val="21"/>
              </w:rPr>
            </w:pPr>
            <w:r>
              <w:rPr>
                <w:rFonts w:hint="eastAsia" w:ascii="仿宋" w:hAnsi="仿宋" w:eastAsia="仿宋" w:cs="仿宋"/>
                <w:b/>
                <w:kern w:val="0"/>
                <w:szCs w:val="21"/>
              </w:rPr>
              <w:t>备注</w:t>
            </w: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Pr>
          <w:p>
            <w:pPr>
              <w:widowControl/>
              <w:spacing w:line="360" w:lineRule="auto"/>
              <w:jc w:val="center"/>
              <w:rPr>
                <w:rFonts w:ascii="仿宋" w:hAnsi="仿宋" w:eastAsia="仿宋" w:cs="仿宋"/>
                <w:kern w:val="0"/>
                <w:szCs w:val="21"/>
              </w:rPr>
            </w:pPr>
          </w:p>
        </w:tc>
        <w:tc>
          <w:tcPr>
            <w:tcW w:w="1723" w:type="dxa"/>
            <w:vAlign w:val="center"/>
          </w:tcPr>
          <w:p>
            <w:pPr>
              <w:widowControl/>
              <w:spacing w:line="360" w:lineRule="auto"/>
              <w:jc w:val="center"/>
              <w:rPr>
                <w:rFonts w:ascii="仿宋" w:hAnsi="仿宋" w:eastAsia="仿宋" w:cs="仿宋"/>
                <w:kern w:val="0"/>
                <w:szCs w:val="21"/>
              </w:rPr>
            </w:pPr>
          </w:p>
        </w:tc>
        <w:tc>
          <w:tcPr>
            <w:tcW w:w="1506" w:type="dxa"/>
          </w:tcPr>
          <w:p>
            <w:pPr>
              <w:widowControl/>
              <w:spacing w:line="360" w:lineRule="auto"/>
              <w:jc w:val="center"/>
              <w:rPr>
                <w:rFonts w:ascii="仿宋" w:hAnsi="仿宋" w:eastAsia="仿宋" w:cs="仿宋"/>
                <w:kern w:val="0"/>
                <w:szCs w:val="21"/>
              </w:rPr>
            </w:pPr>
          </w:p>
        </w:tc>
        <w:tc>
          <w:tcPr>
            <w:tcW w:w="2008" w:type="dxa"/>
          </w:tcPr>
          <w:p>
            <w:pPr>
              <w:widowControl/>
              <w:spacing w:line="360" w:lineRule="auto"/>
              <w:jc w:val="center"/>
              <w:rPr>
                <w:rFonts w:ascii="仿宋" w:hAnsi="仿宋" w:eastAsia="仿宋" w:cs="仿宋"/>
                <w:kern w:val="0"/>
                <w:szCs w:val="21"/>
              </w:rPr>
            </w:pPr>
          </w:p>
        </w:tc>
        <w:tc>
          <w:tcPr>
            <w:tcW w:w="1890" w:type="dxa"/>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Pr>
          <w:p>
            <w:pPr>
              <w:spacing w:line="360" w:lineRule="auto"/>
              <w:jc w:val="center"/>
              <w:rPr>
                <w:rFonts w:ascii="仿宋" w:hAnsi="仿宋" w:eastAsia="仿宋" w:cs="仿宋"/>
                <w:szCs w:val="21"/>
              </w:rPr>
            </w:pPr>
          </w:p>
        </w:tc>
        <w:tc>
          <w:tcPr>
            <w:tcW w:w="1723" w:type="dxa"/>
            <w:vAlign w:val="center"/>
          </w:tcPr>
          <w:p>
            <w:pPr>
              <w:spacing w:line="360" w:lineRule="auto"/>
              <w:jc w:val="center"/>
              <w:rPr>
                <w:rFonts w:ascii="仿宋" w:hAnsi="仿宋" w:eastAsia="仿宋" w:cs="仿宋"/>
                <w:szCs w:val="21"/>
              </w:rPr>
            </w:pPr>
          </w:p>
        </w:tc>
        <w:tc>
          <w:tcPr>
            <w:tcW w:w="1506" w:type="dxa"/>
          </w:tcPr>
          <w:p>
            <w:pPr>
              <w:widowControl/>
              <w:spacing w:line="360" w:lineRule="auto"/>
              <w:jc w:val="center"/>
              <w:rPr>
                <w:rFonts w:ascii="仿宋" w:hAnsi="仿宋" w:eastAsia="仿宋" w:cs="仿宋"/>
                <w:kern w:val="0"/>
                <w:szCs w:val="21"/>
              </w:rPr>
            </w:pPr>
          </w:p>
        </w:tc>
        <w:tc>
          <w:tcPr>
            <w:tcW w:w="2008" w:type="dxa"/>
          </w:tcPr>
          <w:p>
            <w:pPr>
              <w:widowControl/>
              <w:spacing w:line="360" w:lineRule="auto"/>
              <w:jc w:val="center"/>
              <w:rPr>
                <w:rFonts w:ascii="仿宋" w:hAnsi="仿宋" w:eastAsia="仿宋" w:cs="仿宋"/>
                <w:kern w:val="0"/>
                <w:szCs w:val="21"/>
              </w:rPr>
            </w:pPr>
          </w:p>
        </w:tc>
        <w:tc>
          <w:tcPr>
            <w:tcW w:w="1890" w:type="dxa"/>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Pr>
          <w:p>
            <w:pPr>
              <w:spacing w:line="360" w:lineRule="auto"/>
              <w:jc w:val="center"/>
              <w:rPr>
                <w:rFonts w:ascii="仿宋" w:hAnsi="仿宋" w:eastAsia="仿宋" w:cs="仿宋"/>
                <w:szCs w:val="21"/>
              </w:rPr>
            </w:pPr>
          </w:p>
        </w:tc>
        <w:tc>
          <w:tcPr>
            <w:tcW w:w="1723" w:type="dxa"/>
          </w:tcPr>
          <w:p>
            <w:pPr>
              <w:spacing w:line="360" w:lineRule="auto"/>
              <w:jc w:val="center"/>
              <w:rPr>
                <w:rFonts w:ascii="仿宋" w:hAnsi="仿宋" w:eastAsia="仿宋" w:cs="仿宋"/>
                <w:szCs w:val="21"/>
              </w:rPr>
            </w:pPr>
          </w:p>
        </w:tc>
        <w:tc>
          <w:tcPr>
            <w:tcW w:w="1506" w:type="dxa"/>
          </w:tcPr>
          <w:p>
            <w:pPr>
              <w:widowControl/>
              <w:spacing w:line="360" w:lineRule="auto"/>
              <w:jc w:val="center"/>
              <w:rPr>
                <w:rFonts w:ascii="仿宋" w:hAnsi="仿宋" w:eastAsia="仿宋" w:cs="仿宋"/>
                <w:kern w:val="0"/>
                <w:szCs w:val="21"/>
              </w:rPr>
            </w:pPr>
          </w:p>
        </w:tc>
        <w:tc>
          <w:tcPr>
            <w:tcW w:w="2008" w:type="dxa"/>
          </w:tcPr>
          <w:p>
            <w:pPr>
              <w:widowControl/>
              <w:spacing w:line="360" w:lineRule="auto"/>
              <w:jc w:val="center"/>
              <w:rPr>
                <w:rFonts w:ascii="仿宋" w:hAnsi="仿宋" w:eastAsia="仿宋" w:cs="仿宋"/>
                <w:kern w:val="0"/>
                <w:szCs w:val="21"/>
              </w:rPr>
            </w:pPr>
          </w:p>
        </w:tc>
        <w:tc>
          <w:tcPr>
            <w:tcW w:w="1890" w:type="dxa"/>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Pr>
          <w:p>
            <w:pPr>
              <w:spacing w:line="360" w:lineRule="auto"/>
              <w:jc w:val="center"/>
              <w:rPr>
                <w:rFonts w:ascii="仿宋" w:hAnsi="仿宋" w:eastAsia="仿宋" w:cs="仿宋"/>
                <w:szCs w:val="21"/>
              </w:rPr>
            </w:pPr>
          </w:p>
        </w:tc>
        <w:tc>
          <w:tcPr>
            <w:tcW w:w="1723" w:type="dxa"/>
          </w:tcPr>
          <w:p>
            <w:pPr>
              <w:spacing w:line="360" w:lineRule="auto"/>
              <w:jc w:val="center"/>
              <w:rPr>
                <w:rFonts w:ascii="仿宋" w:hAnsi="仿宋" w:eastAsia="仿宋" w:cs="仿宋"/>
                <w:szCs w:val="21"/>
              </w:rPr>
            </w:pPr>
          </w:p>
        </w:tc>
        <w:tc>
          <w:tcPr>
            <w:tcW w:w="1506" w:type="dxa"/>
          </w:tcPr>
          <w:p>
            <w:pPr>
              <w:widowControl/>
              <w:spacing w:line="360" w:lineRule="auto"/>
              <w:jc w:val="center"/>
              <w:rPr>
                <w:rFonts w:ascii="仿宋" w:hAnsi="仿宋" w:eastAsia="仿宋" w:cs="仿宋"/>
                <w:kern w:val="0"/>
                <w:szCs w:val="21"/>
              </w:rPr>
            </w:pPr>
          </w:p>
        </w:tc>
        <w:tc>
          <w:tcPr>
            <w:tcW w:w="2008" w:type="dxa"/>
          </w:tcPr>
          <w:p>
            <w:pPr>
              <w:widowControl/>
              <w:spacing w:line="360" w:lineRule="auto"/>
              <w:jc w:val="center"/>
              <w:rPr>
                <w:rFonts w:ascii="仿宋" w:hAnsi="仿宋" w:eastAsia="仿宋" w:cs="仿宋"/>
                <w:kern w:val="0"/>
                <w:szCs w:val="21"/>
              </w:rPr>
            </w:pPr>
          </w:p>
        </w:tc>
        <w:tc>
          <w:tcPr>
            <w:tcW w:w="1890" w:type="dxa"/>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bottom w:val="single" w:color="auto" w:sz="4" w:space="0"/>
            </w:tcBorders>
          </w:tcPr>
          <w:p>
            <w:pPr>
              <w:spacing w:line="360" w:lineRule="auto"/>
              <w:jc w:val="center"/>
              <w:rPr>
                <w:rFonts w:ascii="仿宋" w:hAnsi="仿宋" w:eastAsia="仿宋" w:cs="仿宋"/>
                <w:szCs w:val="21"/>
              </w:rPr>
            </w:pPr>
          </w:p>
        </w:tc>
        <w:tc>
          <w:tcPr>
            <w:tcW w:w="1723" w:type="dxa"/>
            <w:tcBorders>
              <w:bottom w:val="single" w:color="auto" w:sz="4" w:space="0"/>
            </w:tcBorders>
          </w:tcPr>
          <w:p>
            <w:pPr>
              <w:spacing w:line="360" w:lineRule="auto"/>
              <w:jc w:val="center"/>
              <w:rPr>
                <w:rFonts w:ascii="仿宋" w:hAnsi="仿宋" w:eastAsia="仿宋" w:cs="仿宋"/>
                <w:szCs w:val="21"/>
              </w:rPr>
            </w:pPr>
          </w:p>
        </w:tc>
        <w:tc>
          <w:tcPr>
            <w:tcW w:w="1506" w:type="dxa"/>
            <w:tcBorders>
              <w:bottom w:val="single" w:color="auto" w:sz="4" w:space="0"/>
            </w:tcBorders>
          </w:tcPr>
          <w:p>
            <w:pPr>
              <w:widowControl/>
              <w:spacing w:line="360" w:lineRule="auto"/>
              <w:jc w:val="center"/>
              <w:rPr>
                <w:rFonts w:ascii="仿宋" w:hAnsi="仿宋" w:eastAsia="仿宋" w:cs="仿宋"/>
                <w:kern w:val="0"/>
                <w:szCs w:val="21"/>
              </w:rPr>
            </w:pPr>
          </w:p>
        </w:tc>
        <w:tc>
          <w:tcPr>
            <w:tcW w:w="2008" w:type="dxa"/>
            <w:tcBorders>
              <w:bottom w:val="single" w:color="auto" w:sz="4" w:space="0"/>
            </w:tcBorders>
          </w:tcPr>
          <w:p>
            <w:pPr>
              <w:widowControl/>
              <w:spacing w:line="360" w:lineRule="auto"/>
              <w:jc w:val="center"/>
              <w:rPr>
                <w:rFonts w:ascii="仿宋" w:hAnsi="仿宋" w:eastAsia="仿宋" w:cs="仿宋"/>
                <w:kern w:val="0"/>
                <w:szCs w:val="21"/>
              </w:rPr>
            </w:pPr>
          </w:p>
        </w:tc>
        <w:tc>
          <w:tcPr>
            <w:tcW w:w="1890" w:type="dxa"/>
            <w:tcBorders>
              <w:bottom w:val="single" w:color="auto" w:sz="4" w:space="0"/>
            </w:tcBorders>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left w:val="single" w:color="auto" w:sz="4" w:space="0"/>
              <w:bottom w:val="single" w:color="auto" w:sz="4" w:space="0"/>
              <w:right w:val="single" w:color="auto" w:sz="4" w:space="0"/>
            </w:tcBorders>
          </w:tcPr>
          <w:p>
            <w:pPr>
              <w:spacing w:line="360" w:lineRule="auto"/>
              <w:jc w:val="center"/>
              <w:rPr>
                <w:rFonts w:ascii="仿宋" w:hAnsi="仿宋" w:eastAsia="仿宋" w:cs="仿宋"/>
                <w:szCs w:val="21"/>
              </w:rPr>
            </w:pPr>
          </w:p>
        </w:tc>
        <w:tc>
          <w:tcPr>
            <w:tcW w:w="1723" w:type="dxa"/>
            <w:tcBorders>
              <w:left w:val="single" w:color="auto" w:sz="4" w:space="0"/>
              <w:bottom w:val="single" w:color="auto" w:sz="4" w:space="0"/>
              <w:right w:val="single" w:color="auto" w:sz="4" w:space="0"/>
            </w:tcBorders>
          </w:tcPr>
          <w:p>
            <w:pPr>
              <w:spacing w:line="360" w:lineRule="auto"/>
              <w:jc w:val="center"/>
              <w:rPr>
                <w:rFonts w:ascii="仿宋" w:hAnsi="仿宋" w:eastAsia="仿宋" w:cs="仿宋"/>
                <w:szCs w:val="21"/>
              </w:rPr>
            </w:pPr>
          </w:p>
        </w:tc>
        <w:tc>
          <w:tcPr>
            <w:tcW w:w="1506" w:type="dxa"/>
            <w:tcBorders>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2008" w:type="dxa"/>
            <w:tcBorders>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890" w:type="dxa"/>
            <w:tcBorders>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c>
          <w:tcPr>
            <w:tcW w:w="150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c>
          <w:tcPr>
            <w:tcW w:w="150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723"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c>
          <w:tcPr>
            <w:tcW w:w="1506" w:type="dxa"/>
            <w:tcBorders>
              <w:top w:val="single" w:color="auto" w:sz="4" w:space="0"/>
              <w:left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2008" w:type="dxa"/>
            <w:tcBorders>
              <w:top w:val="single" w:color="auto" w:sz="4" w:space="0"/>
              <w:left w:val="single" w:color="auto" w:sz="4" w:space="0"/>
              <w:right w:val="single" w:color="auto" w:sz="4" w:space="0"/>
            </w:tcBorders>
          </w:tcPr>
          <w:p>
            <w:pPr>
              <w:widowControl/>
              <w:spacing w:line="360" w:lineRule="auto"/>
              <w:jc w:val="center"/>
              <w:rPr>
                <w:rFonts w:ascii="仿宋" w:hAnsi="仿宋" w:eastAsia="仿宋" w:cs="仿宋"/>
                <w:kern w:val="0"/>
                <w:szCs w:val="21"/>
              </w:rPr>
            </w:pPr>
          </w:p>
        </w:tc>
        <w:tc>
          <w:tcPr>
            <w:tcW w:w="1890"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Pr>
          <w:p>
            <w:pPr>
              <w:widowControl/>
              <w:spacing w:line="360" w:lineRule="auto"/>
              <w:jc w:val="center"/>
              <w:rPr>
                <w:rFonts w:ascii="仿宋" w:hAnsi="仿宋" w:eastAsia="仿宋" w:cs="仿宋"/>
                <w:kern w:val="0"/>
                <w:szCs w:val="21"/>
              </w:rPr>
            </w:pPr>
          </w:p>
        </w:tc>
        <w:tc>
          <w:tcPr>
            <w:tcW w:w="1723" w:type="dxa"/>
            <w:vAlign w:val="center"/>
          </w:tcPr>
          <w:p>
            <w:pPr>
              <w:widowControl/>
              <w:spacing w:line="360" w:lineRule="auto"/>
              <w:jc w:val="center"/>
              <w:rPr>
                <w:rFonts w:ascii="仿宋" w:hAnsi="仿宋" w:eastAsia="仿宋" w:cs="仿宋"/>
                <w:kern w:val="0"/>
                <w:szCs w:val="21"/>
              </w:rPr>
            </w:pPr>
          </w:p>
        </w:tc>
        <w:tc>
          <w:tcPr>
            <w:tcW w:w="1506" w:type="dxa"/>
          </w:tcPr>
          <w:p>
            <w:pPr>
              <w:widowControl/>
              <w:spacing w:line="360" w:lineRule="auto"/>
              <w:jc w:val="center"/>
              <w:rPr>
                <w:rFonts w:ascii="仿宋" w:hAnsi="仿宋" w:eastAsia="仿宋" w:cs="仿宋"/>
                <w:kern w:val="0"/>
                <w:szCs w:val="21"/>
              </w:rPr>
            </w:pPr>
          </w:p>
        </w:tc>
        <w:tc>
          <w:tcPr>
            <w:tcW w:w="2008" w:type="dxa"/>
          </w:tcPr>
          <w:p>
            <w:pPr>
              <w:widowControl/>
              <w:spacing w:line="360" w:lineRule="auto"/>
              <w:jc w:val="center"/>
              <w:rPr>
                <w:rFonts w:ascii="仿宋" w:hAnsi="仿宋" w:eastAsia="仿宋" w:cs="仿宋"/>
                <w:kern w:val="0"/>
                <w:szCs w:val="21"/>
              </w:rPr>
            </w:pPr>
          </w:p>
        </w:tc>
        <w:tc>
          <w:tcPr>
            <w:tcW w:w="1890" w:type="dxa"/>
            <w:vAlign w:val="center"/>
          </w:tcPr>
          <w:p>
            <w:pPr>
              <w:widowControl/>
              <w:spacing w:line="360" w:lineRule="auto"/>
              <w:jc w:val="center"/>
              <w:rPr>
                <w:rFonts w:ascii="仿宋" w:hAnsi="仿宋" w:eastAsia="仿宋" w:cs="仿宋"/>
                <w:kern w:val="0"/>
                <w:szCs w:val="21"/>
              </w:rPr>
            </w:pPr>
          </w:p>
        </w:tc>
      </w:tr>
    </w:tbl>
    <w:p>
      <w:pPr>
        <w:spacing w:line="360" w:lineRule="auto"/>
        <w:ind w:left="1260" w:hanging="1260"/>
        <w:rPr>
          <w:rFonts w:ascii="仿宋" w:hAnsi="仿宋" w:eastAsia="仿宋" w:cs="仿宋"/>
          <w:b/>
          <w:szCs w:val="21"/>
        </w:rPr>
      </w:pPr>
      <w:r>
        <w:rPr>
          <w:rFonts w:hint="eastAsia" w:ascii="仿宋" w:hAnsi="仿宋" w:eastAsia="仿宋" w:cs="仿宋"/>
          <w:b/>
          <w:szCs w:val="21"/>
        </w:rPr>
        <w:t>说明：1、参考报价可以是市场价格，也可以是谈判供应商认为合适的价格。</w:t>
      </w:r>
    </w:p>
    <w:p>
      <w:pPr>
        <w:spacing w:line="360" w:lineRule="auto"/>
        <w:ind w:firstLine="630" w:firstLineChars="300"/>
        <w:rPr>
          <w:rFonts w:ascii="仿宋" w:hAnsi="仿宋" w:eastAsia="仿宋" w:cs="仿宋"/>
          <w:b/>
          <w:szCs w:val="21"/>
        </w:rPr>
      </w:pPr>
      <w:r>
        <w:rPr>
          <w:rFonts w:hint="eastAsia" w:ascii="仿宋" w:hAnsi="仿宋" w:eastAsia="仿宋" w:cs="仿宋"/>
          <w:b/>
          <w:szCs w:val="21"/>
        </w:rPr>
        <w:t>2、参考报价不作为评审的依据。</w:t>
      </w:r>
    </w:p>
    <w:p>
      <w:pPr>
        <w:snapToGrid w:val="0"/>
        <w:spacing w:line="360" w:lineRule="auto"/>
        <w:ind w:firstLine="550"/>
        <w:rPr>
          <w:rFonts w:ascii="仿宋" w:hAnsi="仿宋" w:eastAsia="仿宋" w:cs="仿宋"/>
          <w:szCs w:val="21"/>
        </w:rPr>
      </w:pPr>
    </w:p>
    <w:p>
      <w:pPr>
        <w:snapToGrid w:val="0"/>
        <w:spacing w:line="360" w:lineRule="auto"/>
        <w:ind w:firstLine="550"/>
        <w:rPr>
          <w:rFonts w:ascii="仿宋" w:hAnsi="仿宋" w:eastAsia="仿宋" w:cs="仿宋"/>
          <w:szCs w:val="21"/>
        </w:rPr>
      </w:pPr>
    </w:p>
    <w:p>
      <w:pPr>
        <w:snapToGrid w:val="0"/>
        <w:spacing w:line="360" w:lineRule="auto"/>
        <w:ind w:firstLine="552"/>
        <w:rPr>
          <w:rFonts w:ascii="仿宋" w:hAnsi="仿宋" w:eastAsia="仿宋" w:cs="仿宋"/>
          <w:szCs w:val="21"/>
        </w:rPr>
      </w:pPr>
      <w:r>
        <w:rPr>
          <w:rFonts w:hint="eastAsia" w:ascii="仿宋" w:hAnsi="仿宋" w:eastAsia="仿宋" w:cs="仿宋"/>
          <w:szCs w:val="21"/>
        </w:rPr>
        <w:t>出具日期：</w:t>
      </w:r>
      <w:r>
        <w:rPr>
          <w:rFonts w:hint="eastAsia" w:ascii="仿宋" w:hAnsi="仿宋" w:eastAsia="仿宋" w:cs="仿宋"/>
          <w:szCs w:val="21"/>
          <w:u w:val="single"/>
        </w:rPr>
        <w:t xml:space="preserve">                 </w:t>
      </w:r>
    </w:p>
    <w:p>
      <w:pPr>
        <w:snapToGrid w:val="0"/>
        <w:spacing w:line="360" w:lineRule="auto"/>
        <w:ind w:firstLine="552"/>
        <w:rPr>
          <w:rFonts w:ascii="仿宋" w:hAnsi="仿宋" w:eastAsia="仿宋" w:cs="仿宋"/>
          <w:szCs w:val="21"/>
        </w:rPr>
      </w:pPr>
      <w:r>
        <w:rPr>
          <w:rFonts w:hint="eastAsia" w:ascii="仿宋" w:hAnsi="仿宋" w:eastAsia="仿宋" w:cs="仿宋"/>
          <w:szCs w:val="21"/>
        </w:rPr>
        <w:t>授权代表签字：</w:t>
      </w:r>
      <w:r>
        <w:rPr>
          <w:rFonts w:hint="eastAsia" w:ascii="仿宋" w:hAnsi="仿宋" w:eastAsia="仿宋" w:cs="仿宋"/>
          <w:szCs w:val="21"/>
          <w:u w:val="single"/>
        </w:rPr>
        <w:tab/>
      </w:r>
      <w:r>
        <w:rPr>
          <w:rFonts w:hint="eastAsia" w:ascii="仿宋" w:hAnsi="仿宋" w:eastAsia="仿宋" w:cs="仿宋"/>
          <w:szCs w:val="21"/>
          <w:u w:val="single"/>
        </w:rPr>
        <w:t xml:space="preserve">             </w:t>
      </w:r>
    </w:p>
    <w:p>
      <w:pPr>
        <w:snapToGrid w:val="0"/>
        <w:spacing w:line="360" w:lineRule="auto"/>
        <w:ind w:firstLine="550"/>
        <w:rPr>
          <w:rFonts w:ascii="仿宋" w:hAnsi="仿宋" w:eastAsia="仿宋" w:cs="仿宋"/>
          <w:b/>
          <w:szCs w:val="21"/>
        </w:rPr>
      </w:pPr>
      <w:r>
        <w:rPr>
          <w:rFonts w:hint="eastAsia" w:ascii="仿宋" w:hAnsi="仿宋" w:eastAsia="仿宋" w:cs="仿宋"/>
          <w:szCs w:val="21"/>
        </w:rPr>
        <w:t>公章：</w:t>
      </w:r>
      <w:r>
        <w:rPr>
          <w:rFonts w:hint="eastAsia" w:ascii="仿宋" w:hAnsi="仿宋" w:eastAsia="仿宋" w:cs="仿宋"/>
          <w:szCs w:val="21"/>
          <w:u w:val="single"/>
        </w:rPr>
        <w:t xml:space="preserve">                     </w:t>
      </w:r>
    </w:p>
    <w:p>
      <w:pPr>
        <w:spacing w:line="360" w:lineRule="auto"/>
        <w:rPr>
          <w:rFonts w:ascii="仿宋" w:hAnsi="仿宋" w:eastAsia="仿宋" w:cs="仿宋"/>
          <w:b/>
          <w:szCs w:val="21"/>
        </w:rPr>
      </w:pPr>
      <w:r>
        <w:rPr>
          <w:rFonts w:hint="eastAsia" w:ascii="仿宋" w:hAnsi="仿宋" w:eastAsia="仿宋" w:cs="仿宋"/>
          <w:b/>
          <w:szCs w:val="21"/>
        </w:rPr>
        <w:br w:type="page"/>
      </w:r>
      <w:r>
        <w:rPr>
          <w:rFonts w:hint="eastAsia" w:ascii="仿宋" w:hAnsi="仿宋" w:eastAsia="仿宋" w:cs="仿宋"/>
          <w:b/>
          <w:szCs w:val="21"/>
        </w:rPr>
        <w:t>附件三：</w:t>
      </w:r>
    </w:p>
    <w:p>
      <w:pPr>
        <w:spacing w:line="360" w:lineRule="auto"/>
        <w:jc w:val="center"/>
        <w:rPr>
          <w:rFonts w:ascii="仿宋" w:hAnsi="仿宋" w:eastAsia="仿宋" w:cs="仿宋"/>
          <w:szCs w:val="21"/>
        </w:rPr>
      </w:pPr>
      <w:r>
        <w:rPr>
          <w:rFonts w:hint="eastAsia" w:ascii="仿宋" w:hAnsi="仿宋" w:eastAsia="仿宋" w:cs="仿宋"/>
          <w:szCs w:val="21"/>
        </w:rPr>
        <w:t>资格证明文件</w:t>
      </w:r>
    </w:p>
    <w:p>
      <w:pPr>
        <w:spacing w:line="360" w:lineRule="auto"/>
        <w:rPr>
          <w:rFonts w:ascii="仿宋" w:hAnsi="仿宋" w:eastAsia="仿宋" w:cs="仿宋"/>
          <w:szCs w:val="21"/>
          <w:u w:val="single"/>
        </w:rPr>
      </w:pPr>
      <w:r>
        <w:rPr>
          <w:rFonts w:hint="eastAsia" w:ascii="仿宋" w:hAnsi="仿宋" w:eastAsia="仿宋" w:cs="仿宋"/>
          <w:b/>
          <w:szCs w:val="21"/>
        </w:rPr>
        <w:t>（一）法定代表人授权书</w:t>
      </w:r>
    </w:p>
    <w:p>
      <w:pPr>
        <w:spacing w:line="360" w:lineRule="auto"/>
        <w:rPr>
          <w:rFonts w:ascii="仿宋" w:hAnsi="仿宋" w:eastAsia="仿宋" w:cs="仿宋"/>
          <w:szCs w:val="21"/>
        </w:rPr>
      </w:pPr>
      <w:r>
        <w:rPr>
          <w:rFonts w:hint="eastAsia" w:ascii="仿宋" w:hAnsi="仿宋" w:eastAsia="仿宋" w:cs="仿宋"/>
          <w:szCs w:val="21"/>
          <w:u w:val="single"/>
        </w:rPr>
        <w:t>防灾科技学院</w:t>
      </w:r>
      <w:r>
        <w:rPr>
          <w:rFonts w:hint="eastAsia" w:ascii="仿宋" w:hAnsi="仿宋" w:eastAsia="仿宋" w:cs="仿宋"/>
          <w:szCs w:val="21"/>
        </w:rPr>
        <w:t>：</w:t>
      </w:r>
    </w:p>
    <w:p>
      <w:pPr>
        <w:spacing w:line="360" w:lineRule="auto"/>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（谈判供应商全称）    </w:t>
      </w:r>
      <w:r>
        <w:rPr>
          <w:rFonts w:hint="eastAsia" w:ascii="仿宋" w:hAnsi="仿宋" w:eastAsia="仿宋" w:cs="仿宋"/>
          <w:szCs w:val="21"/>
        </w:rPr>
        <w:t>法定代表人</w:t>
      </w:r>
      <w:r>
        <w:rPr>
          <w:rFonts w:hint="eastAsia" w:ascii="仿宋" w:hAnsi="仿宋" w:eastAsia="仿宋" w:cs="仿宋"/>
          <w:szCs w:val="21"/>
          <w:u w:val="single"/>
        </w:rPr>
        <w:t xml:space="preserve">  （姓名）  </w:t>
      </w:r>
      <w:r>
        <w:rPr>
          <w:rFonts w:hint="eastAsia" w:ascii="仿宋" w:hAnsi="仿宋" w:eastAsia="仿宋" w:cs="仿宋"/>
          <w:szCs w:val="21"/>
        </w:rPr>
        <w:t>授权</w:t>
      </w:r>
      <w:r>
        <w:rPr>
          <w:rFonts w:hint="eastAsia" w:ascii="仿宋" w:hAnsi="仿宋" w:eastAsia="仿宋" w:cs="仿宋"/>
          <w:szCs w:val="21"/>
          <w:u w:val="single"/>
        </w:rPr>
        <w:t xml:space="preserve">  姓名  </w:t>
      </w:r>
      <w:r>
        <w:rPr>
          <w:rFonts w:hint="eastAsia" w:ascii="仿宋" w:hAnsi="仿宋" w:eastAsia="仿宋" w:cs="仿宋"/>
          <w:szCs w:val="21"/>
        </w:rPr>
        <w:t>为全权代表，参加贵公司组织的</w:t>
      </w:r>
      <w:r>
        <w:rPr>
          <w:rFonts w:hint="eastAsia" w:ascii="仿宋" w:hAnsi="仿宋" w:eastAsia="仿宋" w:cs="仿宋"/>
          <w:szCs w:val="21"/>
          <w:u w:val="single"/>
        </w:rPr>
        <w:t xml:space="preserve">                 </w:t>
      </w:r>
      <w:r>
        <w:rPr>
          <w:rFonts w:hint="eastAsia" w:ascii="仿宋" w:hAnsi="仿宋" w:eastAsia="仿宋" w:cs="仿宋"/>
          <w:szCs w:val="21"/>
        </w:rPr>
        <w:t>项目（项目编号：</w:t>
      </w:r>
      <w:r>
        <w:rPr>
          <w:rFonts w:hint="eastAsia" w:ascii="仿宋" w:hAnsi="仿宋" w:eastAsia="仿宋" w:cs="仿宋"/>
          <w:szCs w:val="21"/>
          <w:u w:val="single"/>
        </w:rPr>
        <w:t xml:space="preserve">         </w:t>
      </w:r>
      <w:r>
        <w:rPr>
          <w:rFonts w:hint="eastAsia" w:ascii="仿宋" w:hAnsi="仿宋" w:eastAsia="仿宋" w:cs="仿宋"/>
          <w:szCs w:val="21"/>
        </w:rPr>
        <w:t>）谈判报价活动，全权处理谈判活动中的一切事宜。</w:t>
      </w:r>
    </w:p>
    <w:p>
      <w:pPr>
        <w:spacing w:line="360" w:lineRule="auto"/>
        <w:rPr>
          <w:rFonts w:ascii="仿宋" w:hAnsi="仿宋" w:eastAsia="仿宋" w:cs="仿宋"/>
          <w:szCs w:val="21"/>
        </w:rPr>
      </w:pPr>
      <w:r>
        <w:rPr>
          <w:rFonts w:hint="eastAsia" w:ascii="仿宋" w:hAnsi="仿宋" w:eastAsia="仿宋" w:cs="仿宋"/>
          <w:szCs w:val="21"/>
        </w:rPr>
        <w:t xml:space="preserve">          　　　　　　　　　　 法定代表人签字或签章：</w:t>
      </w:r>
    </w:p>
    <w:p>
      <w:pPr>
        <w:pStyle w:val="22"/>
        <w:spacing w:line="360" w:lineRule="auto"/>
        <w:rPr>
          <w:rFonts w:ascii="仿宋" w:hAnsi="仿宋" w:eastAsia="仿宋" w:cs="仿宋"/>
          <w:sz w:val="21"/>
          <w:szCs w:val="21"/>
        </w:rPr>
      </w:pPr>
      <w:r>
        <w:rPr>
          <w:rFonts w:hint="eastAsia" w:ascii="仿宋" w:hAnsi="仿宋" w:eastAsia="仿宋" w:cs="仿宋"/>
          <w:sz w:val="21"/>
          <w:szCs w:val="21"/>
        </w:rPr>
        <w:t xml:space="preserve">     </w:t>
      </w:r>
    </w:p>
    <w:p>
      <w:pPr>
        <w:spacing w:line="360" w:lineRule="auto"/>
        <w:rPr>
          <w:rFonts w:ascii="仿宋" w:hAnsi="仿宋" w:eastAsia="仿宋" w:cs="仿宋"/>
          <w:szCs w:val="21"/>
        </w:rPr>
      </w:pPr>
      <w:r>
        <w:rPr>
          <w:rFonts w:hint="eastAsia" w:ascii="仿宋" w:hAnsi="仿宋" w:eastAsia="仿宋" w:cs="仿宋"/>
          <w:szCs w:val="21"/>
        </w:rPr>
        <w:t xml:space="preserve">     　　　　　　　　　　　　　　    单位全称(公章)：</w:t>
      </w:r>
    </w:p>
    <w:p>
      <w:pPr>
        <w:spacing w:line="360" w:lineRule="auto"/>
        <w:rPr>
          <w:rFonts w:ascii="仿宋" w:hAnsi="仿宋" w:eastAsia="仿宋" w:cs="仿宋"/>
          <w:szCs w:val="21"/>
        </w:rPr>
      </w:pPr>
      <w:r>
        <w:rPr>
          <w:rFonts w:hint="eastAsia" w:ascii="仿宋" w:hAnsi="仿宋" w:eastAsia="仿宋" w:cs="仿宋"/>
          <w:szCs w:val="21"/>
        </w:rPr>
        <w:t xml:space="preserve">          </w:t>
      </w:r>
    </w:p>
    <w:p>
      <w:pPr>
        <w:spacing w:line="360" w:lineRule="auto"/>
        <w:rPr>
          <w:rFonts w:ascii="仿宋" w:hAnsi="仿宋" w:eastAsia="仿宋" w:cs="仿宋"/>
          <w:szCs w:val="21"/>
        </w:rPr>
      </w:pPr>
      <w:r>
        <w:rPr>
          <w:rFonts w:hint="eastAsia" w:ascii="仿宋" w:hAnsi="仿宋" w:eastAsia="仿宋" w:cs="仿宋"/>
          <w:szCs w:val="21"/>
        </w:rPr>
        <w:t xml:space="preserve">     　　　　　　　　　　　　　　           日　期：</w:t>
      </w:r>
    </w:p>
    <w:p>
      <w:pPr>
        <w:pStyle w:val="22"/>
        <w:spacing w:line="360" w:lineRule="auto"/>
        <w:rPr>
          <w:rFonts w:ascii="仿宋" w:hAnsi="仿宋" w:eastAsia="仿宋" w:cs="仿宋"/>
          <w:sz w:val="21"/>
          <w:szCs w:val="21"/>
        </w:rPr>
      </w:pPr>
      <w:r>
        <w:rPr>
          <w:rFonts w:hint="eastAsia" w:ascii="仿宋" w:hAnsi="仿宋" w:eastAsia="仿宋" w:cs="仿宋"/>
          <w:sz w:val="21"/>
          <w:szCs w:val="21"/>
        </w:rPr>
        <w:t xml:space="preserve">     </w:t>
      </w:r>
    </w:p>
    <w:p>
      <w:pPr>
        <w:spacing w:line="360" w:lineRule="auto"/>
        <w:rPr>
          <w:rFonts w:ascii="仿宋" w:hAnsi="仿宋" w:eastAsia="仿宋" w:cs="仿宋"/>
          <w:szCs w:val="21"/>
        </w:rPr>
      </w:pPr>
      <w:r>
        <w:rPr>
          <w:rFonts w:hint="eastAsia" w:ascii="仿宋" w:hAnsi="仿宋" w:eastAsia="仿宋" w:cs="仿宋"/>
          <w:szCs w:val="21"/>
        </w:rPr>
        <w:t xml:space="preserve">     附：</w:t>
      </w:r>
    </w:p>
    <w:p>
      <w:pPr>
        <w:spacing w:line="360" w:lineRule="auto"/>
        <w:rPr>
          <w:rFonts w:ascii="仿宋" w:hAnsi="仿宋" w:eastAsia="仿宋" w:cs="仿宋"/>
          <w:szCs w:val="21"/>
        </w:rPr>
      </w:pPr>
      <w:r>
        <w:rPr>
          <w:rFonts w:hint="eastAsia" w:ascii="仿宋" w:hAnsi="仿宋" w:eastAsia="仿宋" w:cs="仿宋"/>
          <w:szCs w:val="21"/>
        </w:rPr>
        <w:t xml:space="preserve">     　授权代表姓名：</w:t>
      </w:r>
    </w:p>
    <w:p>
      <w:pPr>
        <w:spacing w:line="360" w:lineRule="auto"/>
        <w:rPr>
          <w:rFonts w:ascii="仿宋" w:hAnsi="仿宋" w:eastAsia="仿宋" w:cs="仿宋"/>
          <w:szCs w:val="21"/>
        </w:rPr>
      </w:pPr>
      <w:r>
        <w:rPr>
          <w:rFonts w:hint="eastAsia" w:ascii="仿宋" w:hAnsi="仿宋" w:eastAsia="仿宋" w:cs="仿宋"/>
          <w:szCs w:val="21"/>
        </w:rPr>
        <w:t xml:space="preserve">     　职　　　　务：</w:t>
      </w:r>
    </w:p>
    <w:p>
      <w:pPr>
        <w:spacing w:line="360" w:lineRule="auto"/>
        <w:rPr>
          <w:rFonts w:ascii="仿宋" w:hAnsi="仿宋" w:eastAsia="仿宋" w:cs="仿宋"/>
          <w:szCs w:val="21"/>
        </w:rPr>
      </w:pPr>
      <w:r>
        <w:rPr>
          <w:rFonts w:hint="eastAsia" w:ascii="仿宋" w:hAnsi="仿宋" w:eastAsia="仿宋" w:cs="仿宋"/>
          <w:szCs w:val="21"/>
        </w:rPr>
        <w:t xml:space="preserve">     　详细通讯地址：</w:t>
      </w:r>
    </w:p>
    <w:p>
      <w:pPr>
        <w:spacing w:line="360" w:lineRule="auto"/>
        <w:rPr>
          <w:rFonts w:ascii="仿宋" w:hAnsi="仿宋" w:eastAsia="仿宋" w:cs="仿宋"/>
          <w:szCs w:val="21"/>
        </w:rPr>
      </w:pPr>
      <w:r>
        <w:rPr>
          <w:rFonts w:hint="eastAsia" w:ascii="仿宋" w:hAnsi="仿宋" w:eastAsia="仿宋" w:cs="仿宋"/>
          <w:szCs w:val="21"/>
        </w:rPr>
        <w:t xml:space="preserve">     　邮 政 编 码 ：</w:t>
      </w:r>
    </w:p>
    <w:p>
      <w:pPr>
        <w:spacing w:line="360" w:lineRule="auto"/>
        <w:rPr>
          <w:rFonts w:ascii="仿宋" w:hAnsi="仿宋" w:eastAsia="仿宋" w:cs="仿宋"/>
          <w:szCs w:val="21"/>
        </w:rPr>
      </w:pPr>
      <w:r>
        <w:rPr>
          <w:rFonts w:hint="eastAsia" w:ascii="仿宋" w:hAnsi="仿宋" w:eastAsia="仿宋" w:cs="仿宋"/>
          <w:szCs w:val="21"/>
        </w:rPr>
        <w:t xml:space="preserve">     　传       真 ：</w:t>
      </w:r>
    </w:p>
    <w:p>
      <w:pPr>
        <w:spacing w:line="360" w:lineRule="auto"/>
        <w:rPr>
          <w:rFonts w:ascii="仿宋" w:hAnsi="仿宋" w:eastAsia="仿宋" w:cs="仿宋"/>
          <w:szCs w:val="21"/>
        </w:rPr>
      </w:pPr>
      <w:r>
        <w:rPr>
          <w:rFonts w:hint="eastAsia" w:ascii="仿宋" w:hAnsi="仿宋" w:eastAsia="仿宋" w:cs="仿宋"/>
          <w:szCs w:val="21"/>
        </w:rPr>
        <w:t xml:space="preserve">     　电       话 ：</w:t>
      </w:r>
    </w:p>
    <w:p>
      <w:pPr>
        <w:spacing w:line="360" w:lineRule="auto"/>
        <w:rPr>
          <w:rFonts w:ascii="仿宋" w:hAnsi="仿宋" w:eastAsia="仿宋" w:cs="仿宋"/>
          <w:szCs w:val="21"/>
        </w:rPr>
      </w:pPr>
      <w:r>
        <w:rPr>
          <w:rFonts w:hint="eastAsia" w:ascii="仿宋" w:hAnsi="仿宋" w:eastAsia="仿宋" w:cs="仿宋"/>
          <w:szCs w:val="21"/>
        </w:rPr>
        <w:t xml:space="preserve">       Email  地址 ：</w:t>
      </w:r>
    </w:p>
    <w:p>
      <w:pPr>
        <w:spacing w:line="360" w:lineRule="auto"/>
        <w:rPr>
          <w:rFonts w:ascii="仿宋" w:hAnsi="仿宋" w:eastAsia="仿宋" w:cs="仿宋"/>
          <w:b/>
          <w:szCs w:val="21"/>
        </w:rPr>
      </w:pPr>
      <w:r>
        <w:rPr>
          <w:rFonts w:hint="eastAsia" w:ascii="仿宋" w:hAnsi="仿宋" w:eastAsia="仿宋" w:cs="仿宋"/>
          <w:b/>
          <w:szCs w:val="21"/>
        </w:rPr>
        <w:br w:type="page"/>
      </w:r>
      <w:r>
        <w:rPr>
          <w:rFonts w:hint="eastAsia" w:ascii="仿宋" w:hAnsi="仿宋" w:eastAsia="仿宋" w:cs="仿宋"/>
          <w:b/>
          <w:szCs w:val="21"/>
        </w:rPr>
        <w:t>（二）谈判供应商情况表</w:t>
      </w:r>
    </w:p>
    <w:p>
      <w:pPr>
        <w:spacing w:line="360" w:lineRule="auto"/>
        <w:jc w:val="left"/>
        <w:rPr>
          <w:rFonts w:ascii="仿宋" w:hAnsi="仿宋" w:eastAsia="仿宋" w:cs="仿宋"/>
          <w:szCs w:val="21"/>
        </w:rPr>
      </w:pPr>
      <w:r>
        <w:rPr>
          <w:rFonts w:hint="eastAsia" w:ascii="仿宋" w:hAnsi="仿宋" w:eastAsia="仿宋" w:cs="仿宋"/>
          <w:szCs w:val="21"/>
        </w:rPr>
        <w:t>谈判供应商:(公章)                               填表日期:</w:t>
      </w:r>
    </w:p>
    <w:tbl>
      <w:tblPr>
        <w:tblStyle w:val="49"/>
        <w:tblW w:w="93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20"/>
        <w:gridCol w:w="945"/>
        <w:gridCol w:w="923"/>
        <w:gridCol w:w="505"/>
        <w:gridCol w:w="885"/>
        <w:gridCol w:w="417"/>
        <w:gridCol w:w="340"/>
        <w:gridCol w:w="759"/>
        <w:gridCol w:w="757"/>
        <w:gridCol w:w="127"/>
        <w:gridCol w:w="2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tcPr>
          <w:p>
            <w:pPr>
              <w:spacing w:line="360" w:lineRule="auto"/>
              <w:jc w:val="center"/>
              <w:rPr>
                <w:rFonts w:ascii="仿宋" w:hAnsi="仿宋" w:eastAsia="仿宋" w:cs="仿宋"/>
                <w:szCs w:val="21"/>
              </w:rPr>
            </w:pPr>
            <w:r>
              <w:rPr>
                <w:rFonts w:hint="eastAsia" w:ascii="仿宋" w:hAnsi="仿宋" w:eastAsia="仿宋" w:cs="仿宋"/>
                <w:szCs w:val="21"/>
              </w:rPr>
              <w:t>单位名称</w:t>
            </w:r>
          </w:p>
        </w:tc>
        <w:tc>
          <w:tcPr>
            <w:tcW w:w="7980" w:type="dxa"/>
            <w:gridSpan w:val="10"/>
          </w:tcPr>
          <w:p>
            <w:pPr>
              <w:spacing w:line="360" w:lineRule="auto"/>
              <w:jc w:val="center"/>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tcPr>
          <w:p>
            <w:pPr>
              <w:spacing w:line="360" w:lineRule="auto"/>
              <w:jc w:val="center"/>
              <w:rPr>
                <w:rFonts w:ascii="仿宋" w:hAnsi="仿宋" w:eastAsia="仿宋" w:cs="仿宋"/>
                <w:szCs w:val="21"/>
              </w:rPr>
            </w:pPr>
            <w:r>
              <w:rPr>
                <w:rFonts w:hint="eastAsia" w:ascii="仿宋" w:hAnsi="仿宋" w:eastAsia="仿宋" w:cs="仿宋"/>
                <w:szCs w:val="21"/>
              </w:rPr>
              <w:t>详细地址</w:t>
            </w:r>
          </w:p>
        </w:tc>
        <w:tc>
          <w:tcPr>
            <w:tcW w:w="7980" w:type="dxa"/>
            <w:gridSpan w:val="10"/>
          </w:tcPr>
          <w:p>
            <w:pPr>
              <w:spacing w:line="360" w:lineRule="auto"/>
              <w:jc w:val="center"/>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tcPr>
          <w:p>
            <w:pPr>
              <w:spacing w:line="360" w:lineRule="auto"/>
              <w:jc w:val="center"/>
              <w:rPr>
                <w:rFonts w:ascii="仿宋" w:hAnsi="仿宋" w:eastAsia="仿宋" w:cs="仿宋"/>
                <w:szCs w:val="21"/>
              </w:rPr>
            </w:pPr>
            <w:r>
              <w:rPr>
                <w:rFonts w:hint="eastAsia" w:ascii="仿宋" w:hAnsi="仿宋" w:eastAsia="仿宋" w:cs="仿宋"/>
                <w:szCs w:val="21"/>
              </w:rPr>
              <w:t>主管部门</w:t>
            </w:r>
          </w:p>
        </w:tc>
        <w:tc>
          <w:tcPr>
            <w:tcW w:w="1868" w:type="dxa"/>
            <w:gridSpan w:val="2"/>
          </w:tcPr>
          <w:p>
            <w:pPr>
              <w:spacing w:line="360" w:lineRule="auto"/>
              <w:jc w:val="center"/>
              <w:rPr>
                <w:rFonts w:ascii="仿宋" w:hAnsi="仿宋" w:eastAsia="仿宋" w:cs="仿宋"/>
                <w:szCs w:val="21"/>
              </w:rPr>
            </w:pPr>
          </w:p>
        </w:tc>
        <w:tc>
          <w:tcPr>
            <w:tcW w:w="1390" w:type="dxa"/>
            <w:gridSpan w:val="2"/>
          </w:tcPr>
          <w:p>
            <w:pPr>
              <w:spacing w:line="360" w:lineRule="auto"/>
              <w:jc w:val="center"/>
              <w:rPr>
                <w:rFonts w:ascii="仿宋" w:hAnsi="仿宋" w:eastAsia="仿宋" w:cs="仿宋"/>
                <w:szCs w:val="21"/>
              </w:rPr>
            </w:pPr>
            <w:r>
              <w:rPr>
                <w:rFonts w:hint="eastAsia" w:ascii="仿宋" w:hAnsi="仿宋" w:eastAsia="仿宋" w:cs="仿宋"/>
                <w:szCs w:val="21"/>
              </w:rPr>
              <w:t>法人代表</w:t>
            </w:r>
          </w:p>
        </w:tc>
        <w:tc>
          <w:tcPr>
            <w:tcW w:w="1516" w:type="dxa"/>
            <w:gridSpan w:val="3"/>
          </w:tcPr>
          <w:p>
            <w:pPr>
              <w:spacing w:line="360" w:lineRule="auto"/>
              <w:jc w:val="center"/>
              <w:rPr>
                <w:rFonts w:ascii="仿宋" w:hAnsi="仿宋" w:eastAsia="仿宋" w:cs="仿宋"/>
                <w:szCs w:val="21"/>
              </w:rPr>
            </w:pPr>
          </w:p>
        </w:tc>
        <w:tc>
          <w:tcPr>
            <w:tcW w:w="884" w:type="dxa"/>
            <w:gridSpan w:val="2"/>
          </w:tcPr>
          <w:p>
            <w:pPr>
              <w:spacing w:line="360" w:lineRule="auto"/>
              <w:jc w:val="center"/>
              <w:rPr>
                <w:rFonts w:ascii="仿宋" w:hAnsi="仿宋" w:eastAsia="仿宋" w:cs="仿宋"/>
                <w:szCs w:val="21"/>
              </w:rPr>
            </w:pPr>
            <w:r>
              <w:rPr>
                <w:rFonts w:hint="eastAsia" w:ascii="仿宋" w:hAnsi="仿宋" w:eastAsia="仿宋" w:cs="仿宋"/>
                <w:szCs w:val="21"/>
              </w:rPr>
              <w:t>职务</w:t>
            </w:r>
          </w:p>
        </w:tc>
        <w:tc>
          <w:tcPr>
            <w:tcW w:w="2322" w:type="dxa"/>
          </w:tcPr>
          <w:p>
            <w:pPr>
              <w:spacing w:line="360" w:lineRule="auto"/>
              <w:jc w:val="center"/>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tcPr>
          <w:p>
            <w:pPr>
              <w:spacing w:line="360" w:lineRule="auto"/>
              <w:jc w:val="center"/>
              <w:rPr>
                <w:rFonts w:ascii="仿宋" w:hAnsi="仿宋" w:eastAsia="仿宋" w:cs="仿宋"/>
                <w:szCs w:val="21"/>
              </w:rPr>
            </w:pPr>
            <w:r>
              <w:rPr>
                <w:rFonts w:hint="eastAsia" w:ascii="仿宋" w:hAnsi="仿宋" w:eastAsia="仿宋" w:cs="仿宋"/>
                <w:szCs w:val="21"/>
              </w:rPr>
              <w:t>经济类型</w:t>
            </w:r>
          </w:p>
        </w:tc>
        <w:tc>
          <w:tcPr>
            <w:tcW w:w="1868" w:type="dxa"/>
            <w:gridSpan w:val="2"/>
          </w:tcPr>
          <w:p>
            <w:pPr>
              <w:spacing w:line="360" w:lineRule="auto"/>
              <w:jc w:val="center"/>
              <w:rPr>
                <w:rFonts w:ascii="仿宋" w:hAnsi="仿宋" w:eastAsia="仿宋" w:cs="仿宋"/>
                <w:szCs w:val="21"/>
              </w:rPr>
            </w:pPr>
          </w:p>
        </w:tc>
        <w:tc>
          <w:tcPr>
            <w:tcW w:w="1390" w:type="dxa"/>
            <w:gridSpan w:val="2"/>
          </w:tcPr>
          <w:p>
            <w:pPr>
              <w:spacing w:line="360" w:lineRule="auto"/>
              <w:jc w:val="center"/>
              <w:rPr>
                <w:rFonts w:ascii="仿宋" w:hAnsi="仿宋" w:eastAsia="仿宋" w:cs="仿宋"/>
                <w:szCs w:val="21"/>
              </w:rPr>
            </w:pPr>
            <w:r>
              <w:rPr>
                <w:rFonts w:hint="eastAsia" w:ascii="仿宋" w:hAnsi="仿宋" w:eastAsia="仿宋" w:cs="仿宋"/>
                <w:szCs w:val="21"/>
              </w:rPr>
              <w:t>授权代表</w:t>
            </w:r>
          </w:p>
        </w:tc>
        <w:tc>
          <w:tcPr>
            <w:tcW w:w="1516" w:type="dxa"/>
            <w:gridSpan w:val="3"/>
          </w:tcPr>
          <w:p>
            <w:pPr>
              <w:spacing w:line="360" w:lineRule="auto"/>
              <w:jc w:val="center"/>
              <w:rPr>
                <w:rFonts w:ascii="仿宋" w:hAnsi="仿宋" w:eastAsia="仿宋" w:cs="仿宋"/>
                <w:szCs w:val="21"/>
              </w:rPr>
            </w:pPr>
          </w:p>
        </w:tc>
        <w:tc>
          <w:tcPr>
            <w:tcW w:w="884" w:type="dxa"/>
            <w:gridSpan w:val="2"/>
          </w:tcPr>
          <w:p>
            <w:pPr>
              <w:spacing w:line="360" w:lineRule="auto"/>
              <w:jc w:val="center"/>
              <w:rPr>
                <w:rFonts w:ascii="仿宋" w:hAnsi="仿宋" w:eastAsia="仿宋" w:cs="仿宋"/>
                <w:szCs w:val="21"/>
              </w:rPr>
            </w:pPr>
            <w:r>
              <w:rPr>
                <w:rFonts w:hint="eastAsia" w:ascii="仿宋" w:hAnsi="仿宋" w:eastAsia="仿宋" w:cs="仿宋"/>
                <w:szCs w:val="21"/>
              </w:rPr>
              <w:t>职务</w:t>
            </w:r>
          </w:p>
        </w:tc>
        <w:tc>
          <w:tcPr>
            <w:tcW w:w="2322" w:type="dxa"/>
          </w:tcPr>
          <w:p>
            <w:pPr>
              <w:spacing w:line="360" w:lineRule="auto"/>
              <w:jc w:val="center"/>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tcPr>
          <w:p>
            <w:pPr>
              <w:spacing w:line="360" w:lineRule="auto"/>
              <w:jc w:val="center"/>
              <w:rPr>
                <w:rFonts w:ascii="仿宋" w:hAnsi="仿宋" w:eastAsia="仿宋" w:cs="仿宋"/>
                <w:szCs w:val="21"/>
              </w:rPr>
            </w:pPr>
            <w:r>
              <w:rPr>
                <w:rFonts w:hint="eastAsia" w:ascii="仿宋" w:hAnsi="仿宋" w:eastAsia="仿宋" w:cs="仿宋"/>
                <w:szCs w:val="21"/>
              </w:rPr>
              <w:t>邮政编码</w:t>
            </w:r>
          </w:p>
        </w:tc>
        <w:tc>
          <w:tcPr>
            <w:tcW w:w="1868" w:type="dxa"/>
            <w:gridSpan w:val="2"/>
          </w:tcPr>
          <w:p>
            <w:pPr>
              <w:spacing w:line="360" w:lineRule="auto"/>
              <w:jc w:val="center"/>
              <w:rPr>
                <w:rFonts w:ascii="仿宋" w:hAnsi="仿宋" w:eastAsia="仿宋" w:cs="仿宋"/>
                <w:szCs w:val="21"/>
              </w:rPr>
            </w:pPr>
          </w:p>
        </w:tc>
        <w:tc>
          <w:tcPr>
            <w:tcW w:w="1390" w:type="dxa"/>
            <w:gridSpan w:val="2"/>
          </w:tcPr>
          <w:p>
            <w:pPr>
              <w:spacing w:line="360" w:lineRule="auto"/>
              <w:jc w:val="center"/>
              <w:rPr>
                <w:rFonts w:ascii="仿宋" w:hAnsi="仿宋" w:eastAsia="仿宋" w:cs="仿宋"/>
                <w:szCs w:val="21"/>
              </w:rPr>
            </w:pPr>
            <w:r>
              <w:rPr>
                <w:rFonts w:hint="eastAsia" w:ascii="仿宋" w:hAnsi="仿宋" w:eastAsia="仿宋" w:cs="仿宋"/>
                <w:szCs w:val="21"/>
              </w:rPr>
              <w:t>电话</w:t>
            </w:r>
          </w:p>
        </w:tc>
        <w:tc>
          <w:tcPr>
            <w:tcW w:w="1516" w:type="dxa"/>
            <w:gridSpan w:val="3"/>
          </w:tcPr>
          <w:p>
            <w:pPr>
              <w:spacing w:line="360" w:lineRule="auto"/>
              <w:jc w:val="center"/>
              <w:rPr>
                <w:rFonts w:ascii="仿宋" w:hAnsi="仿宋" w:eastAsia="仿宋" w:cs="仿宋"/>
                <w:szCs w:val="21"/>
              </w:rPr>
            </w:pPr>
          </w:p>
        </w:tc>
        <w:tc>
          <w:tcPr>
            <w:tcW w:w="884" w:type="dxa"/>
            <w:gridSpan w:val="2"/>
          </w:tcPr>
          <w:p>
            <w:pPr>
              <w:spacing w:line="360" w:lineRule="auto"/>
              <w:jc w:val="center"/>
              <w:rPr>
                <w:rFonts w:ascii="仿宋" w:hAnsi="仿宋" w:eastAsia="仿宋" w:cs="仿宋"/>
                <w:szCs w:val="21"/>
              </w:rPr>
            </w:pPr>
            <w:r>
              <w:rPr>
                <w:rFonts w:hint="eastAsia" w:ascii="仿宋" w:hAnsi="仿宋" w:eastAsia="仿宋" w:cs="仿宋"/>
                <w:szCs w:val="21"/>
              </w:rPr>
              <w:t>传真</w:t>
            </w:r>
          </w:p>
        </w:tc>
        <w:tc>
          <w:tcPr>
            <w:tcW w:w="2322" w:type="dxa"/>
          </w:tcPr>
          <w:p>
            <w:pPr>
              <w:spacing w:line="360" w:lineRule="auto"/>
              <w:jc w:val="center"/>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33" w:hRule="atLeast"/>
        </w:trPr>
        <w:tc>
          <w:tcPr>
            <w:tcW w:w="1320" w:type="dxa"/>
          </w:tcPr>
          <w:p>
            <w:pPr>
              <w:spacing w:line="360" w:lineRule="auto"/>
              <w:rPr>
                <w:rFonts w:ascii="仿宋" w:hAnsi="仿宋" w:eastAsia="仿宋" w:cs="仿宋"/>
                <w:szCs w:val="21"/>
              </w:rPr>
            </w:pPr>
            <w:r>
              <w:rPr>
                <w:rFonts w:hint="eastAsia" w:ascii="仿宋" w:hAnsi="仿宋" w:eastAsia="仿宋" w:cs="仿宋"/>
                <w:szCs w:val="21"/>
              </w:rPr>
              <w:t xml:space="preserve">  单位简历</w:t>
            </w:r>
          </w:p>
          <w:p>
            <w:pPr>
              <w:spacing w:line="360" w:lineRule="auto"/>
              <w:jc w:val="center"/>
              <w:rPr>
                <w:rFonts w:ascii="仿宋" w:hAnsi="仿宋" w:eastAsia="仿宋" w:cs="仿宋"/>
                <w:szCs w:val="21"/>
              </w:rPr>
            </w:pPr>
            <w:r>
              <w:rPr>
                <w:rFonts w:hint="eastAsia" w:ascii="仿宋" w:hAnsi="仿宋" w:eastAsia="仿宋" w:cs="仿宋"/>
                <w:szCs w:val="21"/>
              </w:rPr>
              <w:t>及机构</w:t>
            </w:r>
          </w:p>
        </w:tc>
        <w:tc>
          <w:tcPr>
            <w:tcW w:w="7980" w:type="dxa"/>
            <w:gridSpan w:val="10"/>
          </w:tcPr>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43" w:hRule="atLeast"/>
        </w:trPr>
        <w:tc>
          <w:tcPr>
            <w:tcW w:w="1320" w:type="dxa"/>
            <w:tcBorders>
              <w:bottom w:val="nil"/>
            </w:tcBorders>
          </w:tcPr>
          <w:p>
            <w:pPr>
              <w:spacing w:line="360" w:lineRule="auto"/>
              <w:jc w:val="center"/>
              <w:rPr>
                <w:rFonts w:ascii="仿宋" w:hAnsi="仿宋" w:eastAsia="仿宋" w:cs="仿宋"/>
                <w:szCs w:val="21"/>
              </w:rPr>
            </w:pPr>
            <w:r>
              <w:rPr>
                <w:rFonts w:hint="eastAsia" w:ascii="仿宋" w:hAnsi="仿宋" w:eastAsia="仿宋" w:cs="仿宋"/>
                <w:szCs w:val="21"/>
              </w:rPr>
              <w:t>单位主营范围及优势和</w:t>
            </w:r>
          </w:p>
          <w:p>
            <w:pPr>
              <w:spacing w:line="360" w:lineRule="auto"/>
              <w:jc w:val="center"/>
              <w:rPr>
                <w:rFonts w:ascii="仿宋" w:hAnsi="仿宋" w:eastAsia="仿宋" w:cs="仿宋"/>
                <w:szCs w:val="21"/>
              </w:rPr>
            </w:pPr>
            <w:r>
              <w:rPr>
                <w:rFonts w:hint="eastAsia" w:ascii="仿宋" w:hAnsi="仿宋" w:eastAsia="仿宋" w:cs="仿宋"/>
                <w:szCs w:val="21"/>
              </w:rPr>
              <w:t>特长</w:t>
            </w:r>
          </w:p>
        </w:tc>
        <w:tc>
          <w:tcPr>
            <w:tcW w:w="7980" w:type="dxa"/>
            <w:gridSpan w:val="10"/>
            <w:tcBorders>
              <w:bottom w:val="nil"/>
            </w:tcBorders>
          </w:tcPr>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tcBorders>
              <w:top w:val="nil"/>
              <w:bottom w:val="nil"/>
              <w:right w:val="nil"/>
            </w:tcBorders>
          </w:tcPr>
          <w:p>
            <w:pPr>
              <w:pBdr>
                <w:top w:val="single" w:color="auto" w:sz="6" w:space="1"/>
              </w:pBdr>
              <w:spacing w:line="360" w:lineRule="auto"/>
              <w:jc w:val="center"/>
              <w:rPr>
                <w:rFonts w:ascii="仿宋" w:hAnsi="仿宋" w:eastAsia="仿宋" w:cs="仿宋"/>
                <w:szCs w:val="21"/>
              </w:rPr>
            </w:pPr>
          </w:p>
          <w:p>
            <w:pPr>
              <w:pBdr>
                <w:top w:val="single" w:color="auto" w:sz="6" w:space="1"/>
              </w:pBdr>
              <w:spacing w:line="360" w:lineRule="auto"/>
              <w:jc w:val="center"/>
              <w:rPr>
                <w:rFonts w:ascii="仿宋" w:hAnsi="仿宋" w:eastAsia="仿宋" w:cs="仿宋"/>
                <w:szCs w:val="21"/>
              </w:rPr>
            </w:pPr>
            <w:r>
              <w:rPr>
                <w:rFonts w:hint="eastAsia" w:ascii="仿宋" w:hAnsi="仿宋" w:eastAsia="仿宋" w:cs="仿宋"/>
                <w:szCs w:val="21"/>
              </w:rPr>
              <w:t>企业财务状况</w:t>
            </w:r>
          </w:p>
        </w:tc>
        <w:tc>
          <w:tcPr>
            <w:tcW w:w="945" w:type="dxa"/>
          </w:tcPr>
          <w:p>
            <w:pPr>
              <w:spacing w:line="360" w:lineRule="auto"/>
              <w:jc w:val="center"/>
              <w:rPr>
                <w:rFonts w:ascii="仿宋" w:hAnsi="仿宋" w:eastAsia="仿宋" w:cs="仿宋"/>
                <w:szCs w:val="21"/>
              </w:rPr>
            </w:pPr>
          </w:p>
        </w:tc>
        <w:tc>
          <w:tcPr>
            <w:tcW w:w="1428" w:type="dxa"/>
            <w:gridSpan w:val="2"/>
          </w:tcPr>
          <w:p>
            <w:pPr>
              <w:spacing w:line="360" w:lineRule="auto"/>
              <w:jc w:val="center"/>
              <w:rPr>
                <w:rFonts w:ascii="仿宋" w:hAnsi="仿宋" w:eastAsia="仿宋" w:cs="仿宋"/>
                <w:szCs w:val="21"/>
              </w:rPr>
            </w:pPr>
            <w:r>
              <w:rPr>
                <w:rFonts w:hint="eastAsia" w:ascii="仿宋" w:hAnsi="仿宋" w:eastAsia="仿宋" w:cs="仿宋"/>
                <w:szCs w:val="21"/>
              </w:rPr>
              <w:t>收入总额</w:t>
            </w:r>
          </w:p>
        </w:tc>
        <w:tc>
          <w:tcPr>
            <w:tcW w:w="1642" w:type="dxa"/>
            <w:gridSpan w:val="3"/>
          </w:tcPr>
          <w:p>
            <w:pPr>
              <w:spacing w:line="360" w:lineRule="auto"/>
              <w:jc w:val="center"/>
              <w:rPr>
                <w:rFonts w:ascii="仿宋" w:hAnsi="仿宋" w:eastAsia="仿宋" w:cs="仿宋"/>
                <w:szCs w:val="21"/>
              </w:rPr>
            </w:pPr>
            <w:r>
              <w:rPr>
                <w:rFonts w:hint="eastAsia" w:ascii="仿宋" w:hAnsi="仿宋" w:eastAsia="仿宋" w:cs="仿宋"/>
                <w:szCs w:val="21"/>
              </w:rPr>
              <w:t>利润总额</w:t>
            </w:r>
          </w:p>
        </w:tc>
        <w:tc>
          <w:tcPr>
            <w:tcW w:w="1516" w:type="dxa"/>
            <w:gridSpan w:val="2"/>
          </w:tcPr>
          <w:p>
            <w:pPr>
              <w:spacing w:line="360" w:lineRule="auto"/>
              <w:jc w:val="center"/>
              <w:rPr>
                <w:rFonts w:ascii="仿宋" w:hAnsi="仿宋" w:eastAsia="仿宋" w:cs="仿宋"/>
                <w:szCs w:val="21"/>
              </w:rPr>
            </w:pPr>
            <w:r>
              <w:rPr>
                <w:rFonts w:hint="eastAsia" w:ascii="仿宋" w:hAnsi="仿宋" w:eastAsia="仿宋" w:cs="仿宋"/>
                <w:szCs w:val="21"/>
              </w:rPr>
              <w:t>税后利润</w:t>
            </w:r>
          </w:p>
        </w:tc>
        <w:tc>
          <w:tcPr>
            <w:tcW w:w="2449" w:type="dxa"/>
            <w:gridSpan w:val="2"/>
          </w:tcPr>
          <w:p>
            <w:pPr>
              <w:spacing w:line="360" w:lineRule="auto"/>
              <w:jc w:val="center"/>
              <w:rPr>
                <w:rFonts w:ascii="仿宋" w:hAnsi="仿宋" w:eastAsia="仿宋" w:cs="仿宋"/>
                <w:szCs w:val="21"/>
              </w:rPr>
            </w:pPr>
            <w:r>
              <w:rPr>
                <w:rFonts w:hint="eastAsia" w:ascii="仿宋" w:hAnsi="仿宋" w:eastAsia="仿宋" w:cs="仿宋"/>
                <w:szCs w:val="21"/>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right w:val="nil"/>
            </w:tcBorders>
          </w:tcPr>
          <w:p>
            <w:pPr>
              <w:spacing w:line="360" w:lineRule="auto"/>
              <w:rPr>
                <w:rFonts w:ascii="仿宋" w:hAnsi="仿宋" w:eastAsia="仿宋" w:cs="仿宋"/>
                <w:szCs w:val="21"/>
              </w:rPr>
            </w:pPr>
          </w:p>
        </w:tc>
        <w:tc>
          <w:tcPr>
            <w:tcW w:w="945" w:type="dxa"/>
          </w:tcPr>
          <w:p>
            <w:pPr>
              <w:spacing w:line="360" w:lineRule="auto"/>
              <w:jc w:val="center"/>
              <w:rPr>
                <w:rFonts w:ascii="仿宋" w:hAnsi="仿宋" w:eastAsia="仿宋" w:cs="仿宋"/>
                <w:szCs w:val="21"/>
              </w:rPr>
            </w:pPr>
            <w:r>
              <w:rPr>
                <w:rFonts w:hint="eastAsia" w:ascii="仿宋" w:hAnsi="仿宋" w:eastAsia="仿宋" w:cs="仿宋"/>
                <w:szCs w:val="21"/>
              </w:rPr>
              <w:t>2015年</w:t>
            </w:r>
          </w:p>
        </w:tc>
        <w:tc>
          <w:tcPr>
            <w:tcW w:w="1428" w:type="dxa"/>
            <w:gridSpan w:val="2"/>
          </w:tcPr>
          <w:p>
            <w:pPr>
              <w:spacing w:line="360" w:lineRule="auto"/>
              <w:rPr>
                <w:rFonts w:ascii="仿宋" w:hAnsi="仿宋" w:eastAsia="仿宋" w:cs="仿宋"/>
                <w:szCs w:val="21"/>
              </w:rPr>
            </w:pPr>
          </w:p>
        </w:tc>
        <w:tc>
          <w:tcPr>
            <w:tcW w:w="1642" w:type="dxa"/>
            <w:gridSpan w:val="3"/>
          </w:tcPr>
          <w:p>
            <w:pPr>
              <w:spacing w:line="360" w:lineRule="auto"/>
              <w:rPr>
                <w:rFonts w:ascii="仿宋" w:hAnsi="仿宋" w:eastAsia="仿宋" w:cs="仿宋"/>
                <w:szCs w:val="21"/>
              </w:rPr>
            </w:pPr>
          </w:p>
        </w:tc>
        <w:tc>
          <w:tcPr>
            <w:tcW w:w="1516" w:type="dxa"/>
            <w:gridSpan w:val="2"/>
          </w:tcPr>
          <w:p>
            <w:pPr>
              <w:spacing w:line="360" w:lineRule="auto"/>
              <w:rPr>
                <w:rFonts w:ascii="仿宋" w:hAnsi="仿宋" w:eastAsia="仿宋" w:cs="仿宋"/>
                <w:szCs w:val="21"/>
              </w:rPr>
            </w:pPr>
          </w:p>
        </w:tc>
        <w:tc>
          <w:tcPr>
            <w:tcW w:w="2449" w:type="dxa"/>
            <w:gridSpan w:val="2"/>
          </w:tcPr>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tcBorders>
          </w:tcPr>
          <w:p>
            <w:pPr>
              <w:spacing w:line="360" w:lineRule="auto"/>
              <w:rPr>
                <w:rFonts w:ascii="仿宋" w:hAnsi="仿宋" w:eastAsia="仿宋" w:cs="仿宋"/>
                <w:szCs w:val="21"/>
              </w:rPr>
            </w:pPr>
          </w:p>
        </w:tc>
        <w:tc>
          <w:tcPr>
            <w:tcW w:w="945" w:type="dxa"/>
          </w:tcPr>
          <w:p>
            <w:pPr>
              <w:spacing w:line="360" w:lineRule="auto"/>
              <w:jc w:val="center"/>
              <w:rPr>
                <w:rFonts w:ascii="仿宋" w:hAnsi="仿宋" w:eastAsia="仿宋" w:cs="仿宋"/>
                <w:szCs w:val="21"/>
              </w:rPr>
            </w:pPr>
            <w:r>
              <w:rPr>
                <w:rFonts w:hint="eastAsia" w:ascii="仿宋" w:hAnsi="仿宋" w:eastAsia="仿宋" w:cs="仿宋"/>
                <w:szCs w:val="21"/>
              </w:rPr>
              <w:t>2016年</w:t>
            </w:r>
          </w:p>
        </w:tc>
        <w:tc>
          <w:tcPr>
            <w:tcW w:w="1428" w:type="dxa"/>
            <w:gridSpan w:val="2"/>
          </w:tcPr>
          <w:p>
            <w:pPr>
              <w:spacing w:line="360" w:lineRule="auto"/>
              <w:rPr>
                <w:rFonts w:ascii="仿宋" w:hAnsi="仿宋" w:eastAsia="仿宋" w:cs="仿宋"/>
                <w:szCs w:val="21"/>
              </w:rPr>
            </w:pPr>
          </w:p>
        </w:tc>
        <w:tc>
          <w:tcPr>
            <w:tcW w:w="1642" w:type="dxa"/>
            <w:gridSpan w:val="3"/>
          </w:tcPr>
          <w:p>
            <w:pPr>
              <w:spacing w:line="360" w:lineRule="auto"/>
              <w:rPr>
                <w:rFonts w:ascii="仿宋" w:hAnsi="仿宋" w:eastAsia="仿宋" w:cs="仿宋"/>
                <w:szCs w:val="21"/>
              </w:rPr>
            </w:pPr>
          </w:p>
        </w:tc>
        <w:tc>
          <w:tcPr>
            <w:tcW w:w="1516" w:type="dxa"/>
            <w:gridSpan w:val="2"/>
          </w:tcPr>
          <w:p>
            <w:pPr>
              <w:spacing w:line="360" w:lineRule="auto"/>
              <w:rPr>
                <w:rFonts w:ascii="仿宋" w:hAnsi="仿宋" w:eastAsia="仿宋" w:cs="仿宋"/>
                <w:szCs w:val="21"/>
              </w:rPr>
            </w:pPr>
          </w:p>
        </w:tc>
        <w:tc>
          <w:tcPr>
            <w:tcW w:w="2449" w:type="dxa"/>
            <w:gridSpan w:val="2"/>
          </w:tcPr>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tcPr>
          <w:p>
            <w:pPr>
              <w:spacing w:line="360" w:lineRule="auto"/>
              <w:rPr>
                <w:rFonts w:ascii="仿宋" w:hAnsi="仿宋" w:eastAsia="仿宋" w:cs="仿宋"/>
                <w:szCs w:val="21"/>
              </w:rPr>
            </w:pPr>
          </w:p>
        </w:tc>
        <w:tc>
          <w:tcPr>
            <w:tcW w:w="945"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2017年</w:t>
            </w:r>
          </w:p>
        </w:tc>
        <w:tc>
          <w:tcPr>
            <w:tcW w:w="1428" w:type="dxa"/>
            <w:gridSpan w:val="2"/>
          </w:tcPr>
          <w:p>
            <w:pPr>
              <w:spacing w:line="360" w:lineRule="auto"/>
              <w:rPr>
                <w:rFonts w:ascii="仿宋" w:hAnsi="仿宋" w:eastAsia="仿宋" w:cs="仿宋"/>
                <w:szCs w:val="21"/>
              </w:rPr>
            </w:pPr>
          </w:p>
        </w:tc>
        <w:tc>
          <w:tcPr>
            <w:tcW w:w="1642" w:type="dxa"/>
            <w:gridSpan w:val="3"/>
          </w:tcPr>
          <w:p>
            <w:pPr>
              <w:spacing w:line="360" w:lineRule="auto"/>
              <w:rPr>
                <w:rFonts w:ascii="仿宋" w:hAnsi="仿宋" w:eastAsia="仿宋" w:cs="仿宋"/>
                <w:szCs w:val="21"/>
              </w:rPr>
            </w:pPr>
          </w:p>
        </w:tc>
        <w:tc>
          <w:tcPr>
            <w:tcW w:w="1516" w:type="dxa"/>
            <w:gridSpan w:val="2"/>
          </w:tcPr>
          <w:p>
            <w:pPr>
              <w:spacing w:line="360" w:lineRule="auto"/>
              <w:rPr>
                <w:rFonts w:ascii="仿宋" w:hAnsi="仿宋" w:eastAsia="仿宋" w:cs="仿宋"/>
                <w:szCs w:val="21"/>
              </w:rPr>
            </w:pPr>
          </w:p>
        </w:tc>
        <w:tc>
          <w:tcPr>
            <w:tcW w:w="2449" w:type="dxa"/>
            <w:gridSpan w:val="2"/>
          </w:tcPr>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tcPr>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r>
              <w:rPr>
                <w:rFonts w:hint="eastAsia" w:ascii="仿宋" w:hAnsi="仿宋" w:eastAsia="仿宋" w:cs="仿宋"/>
                <w:szCs w:val="21"/>
              </w:rPr>
              <w:t>业绩情况</w:t>
            </w:r>
          </w:p>
        </w:tc>
        <w:tc>
          <w:tcPr>
            <w:tcW w:w="3675" w:type="dxa"/>
            <w:gridSpan w:val="5"/>
          </w:tcPr>
          <w:p>
            <w:pPr>
              <w:spacing w:line="360" w:lineRule="auto"/>
              <w:jc w:val="center"/>
              <w:rPr>
                <w:rFonts w:ascii="仿宋" w:hAnsi="仿宋" w:eastAsia="仿宋" w:cs="仿宋"/>
                <w:szCs w:val="21"/>
              </w:rPr>
            </w:pPr>
            <w:r>
              <w:rPr>
                <w:rFonts w:hint="eastAsia" w:ascii="仿宋" w:hAnsi="仿宋" w:eastAsia="仿宋" w:cs="仿宋"/>
                <w:szCs w:val="21"/>
              </w:rPr>
              <w:t>项目名称</w:t>
            </w:r>
          </w:p>
        </w:tc>
        <w:tc>
          <w:tcPr>
            <w:tcW w:w="4305" w:type="dxa"/>
            <w:gridSpan w:val="5"/>
          </w:tcPr>
          <w:p>
            <w:pPr>
              <w:spacing w:line="360" w:lineRule="auto"/>
              <w:jc w:val="center"/>
              <w:rPr>
                <w:rFonts w:ascii="仿宋" w:hAnsi="仿宋" w:eastAsia="仿宋" w:cs="仿宋"/>
                <w:szCs w:val="21"/>
              </w:rPr>
            </w:pPr>
            <w:r>
              <w:rPr>
                <w:rFonts w:hint="eastAsia" w:ascii="仿宋" w:hAnsi="仿宋" w:eastAsia="仿宋" w:cs="仿宋"/>
                <w:szCs w:val="21"/>
              </w:rPr>
              <w:t>上年销售值（万元）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tcPr>
          <w:p>
            <w:pPr>
              <w:spacing w:line="360" w:lineRule="auto"/>
              <w:rPr>
                <w:rFonts w:ascii="仿宋" w:hAnsi="仿宋" w:eastAsia="仿宋" w:cs="仿宋"/>
                <w:szCs w:val="21"/>
              </w:rPr>
            </w:pPr>
          </w:p>
        </w:tc>
        <w:tc>
          <w:tcPr>
            <w:tcW w:w="3675" w:type="dxa"/>
            <w:gridSpan w:val="5"/>
          </w:tcPr>
          <w:p>
            <w:pPr>
              <w:spacing w:line="360" w:lineRule="auto"/>
              <w:rPr>
                <w:rFonts w:ascii="仿宋" w:hAnsi="仿宋" w:eastAsia="仿宋" w:cs="仿宋"/>
                <w:szCs w:val="21"/>
              </w:rPr>
            </w:pPr>
          </w:p>
        </w:tc>
        <w:tc>
          <w:tcPr>
            <w:tcW w:w="4305" w:type="dxa"/>
            <w:gridSpan w:val="5"/>
          </w:tcPr>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tcPr>
          <w:p>
            <w:pPr>
              <w:spacing w:line="360" w:lineRule="auto"/>
              <w:rPr>
                <w:rFonts w:ascii="仿宋" w:hAnsi="仿宋" w:eastAsia="仿宋" w:cs="仿宋"/>
                <w:szCs w:val="21"/>
              </w:rPr>
            </w:pPr>
          </w:p>
        </w:tc>
        <w:tc>
          <w:tcPr>
            <w:tcW w:w="3675" w:type="dxa"/>
            <w:gridSpan w:val="5"/>
          </w:tcPr>
          <w:p>
            <w:pPr>
              <w:spacing w:line="360" w:lineRule="auto"/>
              <w:rPr>
                <w:rFonts w:ascii="仿宋" w:hAnsi="仿宋" w:eastAsia="仿宋" w:cs="仿宋"/>
                <w:szCs w:val="21"/>
              </w:rPr>
            </w:pPr>
          </w:p>
        </w:tc>
        <w:tc>
          <w:tcPr>
            <w:tcW w:w="4305" w:type="dxa"/>
            <w:gridSpan w:val="5"/>
          </w:tcPr>
          <w:p>
            <w:pPr>
              <w:spacing w:line="360" w:lineRule="auto"/>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tcPr>
          <w:p>
            <w:pPr>
              <w:spacing w:line="360" w:lineRule="auto"/>
              <w:rPr>
                <w:rFonts w:ascii="仿宋" w:hAnsi="仿宋" w:eastAsia="仿宋" w:cs="仿宋"/>
                <w:szCs w:val="21"/>
              </w:rPr>
            </w:pPr>
          </w:p>
        </w:tc>
        <w:tc>
          <w:tcPr>
            <w:tcW w:w="3675" w:type="dxa"/>
            <w:gridSpan w:val="5"/>
          </w:tcPr>
          <w:p>
            <w:pPr>
              <w:spacing w:line="360" w:lineRule="auto"/>
              <w:rPr>
                <w:rFonts w:ascii="仿宋" w:hAnsi="仿宋" w:eastAsia="仿宋" w:cs="仿宋"/>
                <w:szCs w:val="21"/>
              </w:rPr>
            </w:pPr>
          </w:p>
        </w:tc>
        <w:tc>
          <w:tcPr>
            <w:tcW w:w="4305" w:type="dxa"/>
            <w:gridSpan w:val="5"/>
          </w:tcPr>
          <w:p>
            <w:pPr>
              <w:spacing w:line="360" w:lineRule="auto"/>
              <w:rPr>
                <w:rFonts w:ascii="仿宋" w:hAnsi="仿宋" w:eastAsia="仿宋" w:cs="仿宋"/>
                <w:szCs w:val="21"/>
              </w:rPr>
            </w:pPr>
          </w:p>
        </w:tc>
      </w:tr>
    </w:tbl>
    <w:p>
      <w:pPr>
        <w:spacing w:line="360" w:lineRule="auto"/>
        <w:rPr>
          <w:rFonts w:ascii="仿宋" w:hAnsi="仿宋" w:eastAsia="仿宋" w:cs="仿宋"/>
          <w:b/>
          <w:szCs w:val="21"/>
        </w:rPr>
      </w:pPr>
    </w:p>
    <w:p>
      <w:pPr>
        <w:spacing w:line="360" w:lineRule="auto"/>
        <w:rPr>
          <w:rFonts w:ascii="仿宋" w:hAnsi="仿宋" w:eastAsia="仿宋" w:cs="仿宋"/>
          <w:szCs w:val="21"/>
        </w:rPr>
      </w:pPr>
      <w:r>
        <w:rPr>
          <w:rFonts w:hint="eastAsia" w:ascii="仿宋" w:hAnsi="仿宋" w:eastAsia="仿宋" w:cs="仿宋"/>
          <w:b/>
          <w:szCs w:val="21"/>
        </w:rPr>
        <w:br w:type="page"/>
      </w:r>
    </w:p>
    <w:p>
      <w:pPr>
        <w:snapToGrid w:val="0"/>
        <w:spacing w:line="360" w:lineRule="auto"/>
        <w:rPr>
          <w:rFonts w:ascii="仿宋" w:hAnsi="仿宋" w:eastAsia="仿宋" w:cs="仿宋"/>
          <w:b/>
          <w:szCs w:val="21"/>
        </w:rPr>
      </w:pPr>
      <w:r>
        <w:rPr>
          <w:rFonts w:hint="eastAsia" w:ascii="仿宋" w:hAnsi="仿宋" w:eastAsia="仿宋" w:cs="仿宋"/>
          <w:b/>
          <w:szCs w:val="21"/>
        </w:rPr>
        <w:t>（三）营业执照（副本复印件，加盖公章）或事业单位法人证书（副本复印件，加盖公章）或自然人身份证明（身份证复印件）</w:t>
      </w: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r>
        <w:rPr>
          <w:rFonts w:hint="eastAsia" w:ascii="仿宋" w:hAnsi="仿宋" w:eastAsia="仿宋" w:cs="仿宋"/>
          <w:b/>
          <w:szCs w:val="21"/>
        </w:rPr>
        <w:t>（四）近期谈判供应商缴纳企业所得税或增值税的证明（缴纳发票复印件，加盖公章）或事业单位近期纳税证明（缴纳发票复印件，加盖公章）或自然人缴纳个人所得税证明</w:t>
      </w: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r>
        <w:rPr>
          <w:rFonts w:hint="eastAsia" w:ascii="仿宋" w:hAnsi="仿宋" w:eastAsia="仿宋" w:cs="仿宋"/>
          <w:b/>
          <w:szCs w:val="21"/>
        </w:rPr>
        <w:t>（五）近期谈判供应商为职工缴纳社会保险的证明（包括基本养老保险费、基本医疗保险费、失业保险费等缴纳发票复印件，加盖公章。依法不需要缴纳社保的供应商应提供不需缴纳的声明原件，格式自定）</w:t>
      </w: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r>
        <w:rPr>
          <w:rFonts w:hint="eastAsia" w:ascii="仿宋" w:hAnsi="仿宋" w:eastAsia="仿宋" w:cs="仿宋"/>
          <w:b/>
          <w:szCs w:val="21"/>
        </w:rPr>
        <w:t>（六）开户银行为本项目出具的资信证明（原件）或上年度由会计师事务所出具的财务审计报告（复印件，加盖公章）</w:t>
      </w: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r>
        <w:rPr>
          <w:rFonts w:hint="eastAsia" w:ascii="仿宋" w:hAnsi="仿宋" w:eastAsia="仿宋" w:cs="仿宋"/>
          <w:b/>
          <w:szCs w:val="21"/>
        </w:rPr>
        <w:t>（七）谈判供应商参加政府采购活动近三年内无违法记录的说明（格式自定，原件）</w:t>
      </w:r>
    </w:p>
    <w:p>
      <w:pPr>
        <w:snapToGrid w:val="0"/>
        <w:spacing w:line="360" w:lineRule="auto"/>
        <w:rPr>
          <w:rFonts w:ascii="仿宋" w:hAnsi="仿宋" w:eastAsia="仿宋" w:cs="仿宋"/>
          <w:b/>
          <w:szCs w:val="21"/>
        </w:rPr>
      </w:pPr>
      <w:r>
        <w:rPr>
          <w:rFonts w:hint="eastAsia" w:ascii="仿宋" w:hAnsi="仿宋" w:eastAsia="仿宋" w:cs="仿宋"/>
          <w:b/>
          <w:szCs w:val="21"/>
        </w:rPr>
        <w:t>（八）谈判供应商企业类型声明函、制造商企业类型声明函（原件，符合《政府采购促进中小企业发展暂行办法》（财库[2011]181号）价格扣减条件的谈判供应商须提交）</w:t>
      </w: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rPr>
          <w:rFonts w:ascii="仿宋" w:hAnsi="仿宋" w:eastAsia="仿宋" w:cs="仿宋"/>
          <w:b/>
          <w:szCs w:val="21"/>
        </w:rPr>
      </w:pPr>
    </w:p>
    <w:p>
      <w:pPr>
        <w:snapToGrid w:val="0"/>
        <w:spacing w:line="360" w:lineRule="auto"/>
        <w:jc w:val="center"/>
        <w:rPr>
          <w:rFonts w:ascii="仿宋" w:hAnsi="仿宋" w:eastAsia="仿宋" w:cs="仿宋"/>
          <w:b/>
          <w:szCs w:val="21"/>
        </w:rPr>
      </w:pPr>
      <w:r>
        <w:rPr>
          <w:rFonts w:hint="eastAsia" w:ascii="仿宋" w:hAnsi="仿宋" w:eastAsia="仿宋" w:cs="仿宋"/>
          <w:b/>
          <w:szCs w:val="21"/>
        </w:rPr>
        <w:t>谈判供应商企业类型声明函（格式）</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本公司郑重声明，根据《政府采购促进中小企业发展暂行办法》（财库[2011]181号）的规定，本公司为______（请填写：大型、中型、小型、微型）企业。即，本公司同时满足以下条件：</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根据《工业和信息化部、国家统计局、国家发展和改革委员会、财政部关于印发中小企业划型标准规定的通知》（工信部联企业[2011]300号）规定的划分标准，本公司为______（请填写：大型、中型、小型、微型）企业。</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2.本公司参加______单位的______项目采购活动（以下形式选择填写）：</w:t>
      </w:r>
    </w:p>
    <w:p>
      <w:pPr>
        <w:snapToGrid w:val="0"/>
        <w:spacing w:line="360" w:lineRule="auto"/>
        <w:ind w:firstLine="210" w:firstLineChars="100"/>
        <w:rPr>
          <w:rFonts w:ascii="仿宋" w:hAnsi="仿宋" w:eastAsia="仿宋" w:cs="仿宋"/>
          <w:szCs w:val="21"/>
        </w:rPr>
      </w:pPr>
      <w:r>
        <w:rPr>
          <w:rFonts w:hint="eastAsia" w:ascii="仿宋" w:hAnsi="仿宋" w:eastAsia="仿宋" w:cs="仿宋"/>
          <w:szCs w:val="21"/>
        </w:rPr>
        <w:t>（1）□本公司直接提供本企业制造的货物，由本企业承担工程、提供服务。</w:t>
      </w:r>
    </w:p>
    <w:p>
      <w:pPr>
        <w:snapToGrid w:val="0"/>
        <w:spacing w:line="360" w:lineRule="auto"/>
        <w:ind w:firstLine="210" w:firstLineChars="100"/>
        <w:rPr>
          <w:rFonts w:ascii="仿宋" w:hAnsi="仿宋" w:eastAsia="仿宋" w:cs="仿宋"/>
          <w:szCs w:val="21"/>
        </w:rPr>
      </w:pPr>
      <w:r>
        <w:rPr>
          <w:rFonts w:hint="eastAsia" w:ascii="仿宋" w:hAnsi="仿宋" w:eastAsia="仿宋" w:cs="仿宋"/>
          <w:szCs w:val="21"/>
        </w:rPr>
        <w:t>（2）□本公司为代理商，提供其他______（请填写：中型、小型、微型）企业制造的货物。本条所称货物不包括使用大型企业注册商标的货物。（后附制造商企业类型声明函）</w:t>
      </w:r>
    </w:p>
    <w:p>
      <w:pPr>
        <w:snapToGrid w:val="0"/>
        <w:spacing w:line="360" w:lineRule="auto"/>
        <w:ind w:firstLine="210" w:firstLineChars="100"/>
        <w:rPr>
          <w:rFonts w:ascii="仿宋" w:hAnsi="仿宋" w:eastAsia="仿宋" w:cs="仿宋"/>
          <w:szCs w:val="21"/>
        </w:rPr>
      </w:pPr>
      <w:r>
        <w:rPr>
          <w:rFonts w:hint="eastAsia" w:ascii="仿宋" w:hAnsi="仿宋" w:eastAsia="仿宋" w:cs="仿宋"/>
          <w:szCs w:val="21"/>
        </w:rPr>
        <w:t>（3）□本公司为联合体一方，提供本企业制造的货物，由本企业承担工程、提供服务。我公司提供协议合同金额占到共同谈判协议合同总金额的比例为</w:t>
      </w:r>
      <w:r>
        <w:rPr>
          <w:rFonts w:hint="eastAsia" w:ascii="仿宋" w:hAnsi="仿宋" w:eastAsia="仿宋" w:cs="仿宋"/>
          <w:szCs w:val="21"/>
          <w:u w:val="single"/>
        </w:rPr>
        <w:t xml:space="preserve">       </w:t>
      </w:r>
      <w:r>
        <w:rPr>
          <w:rFonts w:hint="eastAsia" w:ascii="仿宋" w:hAnsi="仿宋" w:eastAsia="仿宋" w:cs="仿宋"/>
          <w:szCs w:val="21"/>
        </w:rPr>
        <w:t>。</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本公司对上述声明的真实性负责。如有虚假，将依法承担相应责任。</w:t>
      </w:r>
    </w:p>
    <w:p>
      <w:pPr>
        <w:snapToGrid w:val="0"/>
        <w:spacing w:line="360" w:lineRule="auto"/>
        <w:rPr>
          <w:rFonts w:ascii="仿宋" w:hAnsi="仿宋" w:eastAsia="仿宋" w:cs="仿宋"/>
          <w:szCs w:val="21"/>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企业名称（盖章）：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日  期：</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br w:type="page"/>
      </w:r>
    </w:p>
    <w:p>
      <w:pPr>
        <w:snapToGrid w:val="0"/>
        <w:spacing w:line="360" w:lineRule="auto"/>
        <w:jc w:val="center"/>
        <w:rPr>
          <w:rFonts w:ascii="仿宋" w:hAnsi="仿宋" w:eastAsia="仿宋" w:cs="仿宋"/>
          <w:b/>
          <w:szCs w:val="21"/>
        </w:rPr>
      </w:pPr>
      <w:r>
        <w:rPr>
          <w:rFonts w:hint="eastAsia" w:ascii="仿宋" w:hAnsi="仿宋" w:eastAsia="仿宋" w:cs="仿宋"/>
          <w:b/>
          <w:szCs w:val="21"/>
        </w:rPr>
        <w:t>制造商企业类型声明函（格式）</w:t>
      </w:r>
    </w:p>
    <w:p>
      <w:pPr>
        <w:snapToGrid w:val="0"/>
        <w:spacing w:line="360" w:lineRule="auto"/>
        <w:jc w:val="center"/>
        <w:rPr>
          <w:rFonts w:ascii="仿宋" w:hAnsi="仿宋" w:eastAsia="仿宋" w:cs="仿宋"/>
          <w:b/>
          <w:szCs w:val="21"/>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本公司作为______单位的______ 项目的设备制造商，参加政府采购活动。根据《政府采购促进中小企业发展暂行办法》（财库[2011]181号）的规定，及《工业和信息化部、国家统计局、国家发展和改革委员会、财政部关于印发中小企业划型标准规定的通知》（工信部联企业[2011]300号）规定的划分标准，作出如下声明：</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本公司为______（请填写：中型、小型、微型）企业，提供本企业制造的货物，由本企业承担工程、提供服务。</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本公司对上述声明的真实性负责。如有虚假，将依法承担相应责任。</w:t>
      </w:r>
    </w:p>
    <w:p>
      <w:pPr>
        <w:widowControl/>
        <w:spacing w:line="360" w:lineRule="auto"/>
        <w:ind w:firstLine="4515" w:firstLineChars="2150"/>
        <w:jc w:val="left"/>
        <w:rPr>
          <w:rFonts w:ascii="仿宋" w:hAnsi="仿宋" w:eastAsia="仿宋" w:cs="仿宋"/>
          <w:kern w:val="0"/>
          <w:szCs w:val="21"/>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企业名称（盖章）：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日  期：</w:t>
      </w:r>
    </w:p>
    <w:p>
      <w:pPr>
        <w:snapToGrid w:val="0"/>
        <w:spacing w:line="360" w:lineRule="auto"/>
        <w:rPr>
          <w:rFonts w:ascii="仿宋" w:hAnsi="仿宋" w:eastAsia="仿宋" w:cs="仿宋"/>
          <w:b/>
          <w:szCs w:val="21"/>
        </w:rPr>
      </w:pPr>
      <w:r>
        <w:rPr>
          <w:rFonts w:hint="eastAsia" w:ascii="仿宋" w:hAnsi="仿宋" w:eastAsia="仿宋" w:cs="仿宋"/>
          <w:kern w:val="0"/>
          <w:szCs w:val="21"/>
        </w:rPr>
        <w:br w:type="page"/>
      </w:r>
      <w:r>
        <w:rPr>
          <w:rFonts w:hint="eastAsia" w:ascii="仿宋" w:hAnsi="仿宋" w:eastAsia="仿宋" w:cs="仿宋"/>
          <w:b/>
          <w:szCs w:val="21"/>
        </w:rPr>
        <w:t>（九）其他必要的内容</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1、投标人认为可以证明其工作和项目能力的其他资质文件</w:t>
      </w:r>
    </w:p>
    <w:p>
      <w:pPr>
        <w:spacing w:line="360" w:lineRule="auto"/>
        <w:ind w:firstLine="105" w:firstLineChars="50"/>
        <w:rPr>
          <w:rFonts w:ascii="仿宋" w:hAnsi="仿宋" w:eastAsia="仿宋" w:cs="仿宋"/>
          <w:b/>
          <w:szCs w:val="21"/>
        </w:rPr>
      </w:pPr>
      <w:r>
        <w:rPr>
          <w:rFonts w:hint="eastAsia" w:ascii="仿宋" w:hAnsi="仿宋" w:eastAsia="仿宋" w:cs="仿宋"/>
          <w:b/>
          <w:szCs w:val="21"/>
        </w:rPr>
        <w:t>附件四：采购需求响应方案</w:t>
      </w:r>
    </w:p>
    <w:p>
      <w:pPr>
        <w:pStyle w:val="2"/>
        <w:spacing w:before="0" w:after="0" w:line="360" w:lineRule="auto"/>
        <w:rPr>
          <w:rFonts w:ascii="仿宋" w:hAnsi="仿宋" w:eastAsia="仿宋" w:cs="仿宋"/>
          <w:b w:val="0"/>
          <w:sz w:val="21"/>
          <w:szCs w:val="21"/>
        </w:rPr>
      </w:pPr>
      <w:r>
        <w:rPr>
          <w:rFonts w:ascii="仿宋" w:hAnsi="仿宋" w:eastAsia="仿宋" w:cs="仿宋"/>
          <w:b w:val="0"/>
          <w:sz w:val="21"/>
          <w:szCs w:val="21"/>
        </w:rPr>
        <w:br w:type="page"/>
      </w:r>
      <w:r>
        <w:rPr>
          <w:rFonts w:hint="eastAsia" w:ascii="仿宋" w:hAnsi="仿宋" w:eastAsia="仿宋" w:cs="仿宋"/>
          <w:b w:val="0"/>
          <w:sz w:val="21"/>
          <w:szCs w:val="21"/>
        </w:rPr>
        <w:t>附件五：</w:t>
      </w:r>
    </w:p>
    <w:tbl>
      <w:tblPr>
        <w:tblStyle w:val="49"/>
        <w:tblW w:w="8520" w:type="dxa"/>
        <w:tblInd w:w="93" w:type="dxa"/>
        <w:tblLayout w:type="fixed"/>
        <w:tblCellMar>
          <w:top w:w="0" w:type="dxa"/>
          <w:left w:w="108" w:type="dxa"/>
          <w:bottom w:w="0" w:type="dxa"/>
          <w:right w:w="108" w:type="dxa"/>
        </w:tblCellMar>
      </w:tblPr>
      <w:tblGrid>
        <w:gridCol w:w="1801"/>
        <w:gridCol w:w="1958"/>
        <w:gridCol w:w="1643"/>
        <w:gridCol w:w="3118"/>
      </w:tblGrid>
      <w:tr>
        <w:tblPrEx>
          <w:tblLayout w:type="fixed"/>
          <w:tblCellMar>
            <w:top w:w="0" w:type="dxa"/>
            <w:left w:w="108" w:type="dxa"/>
            <w:bottom w:w="0" w:type="dxa"/>
            <w:right w:w="108" w:type="dxa"/>
          </w:tblCellMar>
        </w:tblPrEx>
        <w:trPr>
          <w:trHeight w:val="960" w:hRule="atLeast"/>
        </w:trPr>
        <w:tc>
          <w:tcPr>
            <w:tcW w:w="8520" w:type="dxa"/>
            <w:gridSpan w:val="4"/>
            <w:tcBorders>
              <w:top w:val="nil"/>
              <w:left w:val="nil"/>
              <w:bottom w:val="single" w:color="auto" w:sz="4" w:space="0"/>
              <w:right w:val="nil"/>
            </w:tcBorders>
            <w:vAlign w:val="center"/>
          </w:tcPr>
          <w:p>
            <w:pPr>
              <w:snapToGrid w:val="0"/>
              <w:spacing w:line="360" w:lineRule="auto"/>
              <w:jc w:val="center"/>
              <w:rPr>
                <w:rFonts w:ascii="仿宋" w:hAnsi="仿宋" w:eastAsia="仿宋" w:cs="仿宋"/>
                <w:szCs w:val="21"/>
              </w:rPr>
            </w:pPr>
            <w:r>
              <w:rPr>
                <w:rFonts w:hint="eastAsia" w:ascii="仿宋" w:hAnsi="仿宋" w:eastAsia="仿宋" w:cs="仿宋"/>
                <w:b/>
                <w:bCs/>
                <w:kern w:val="0"/>
                <w:szCs w:val="21"/>
              </w:rPr>
              <w:t>最后报价表</w:t>
            </w:r>
            <w:r>
              <w:rPr>
                <w:rFonts w:hint="eastAsia" w:ascii="仿宋" w:hAnsi="仿宋" w:eastAsia="仿宋" w:cs="仿宋"/>
                <w:szCs w:val="21"/>
              </w:rPr>
              <w:t>（最后报价时提交）</w:t>
            </w:r>
          </w:p>
          <w:p>
            <w:pPr>
              <w:widowControl/>
              <w:spacing w:line="360" w:lineRule="auto"/>
              <w:jc w:val="center"/>
              <w:rPr>
                <w:rFonts w:ascii="仿宋" w:hAnsi="仿宋" w:eastAsia="仿宋" w:cs="仿宋"/>
                <w:b/>
                <w:bCs/>
                <w:kern w:val="0"/>
                <w:szCs w:val="21"/>
              </w:rPr>
            </w:pPr>
          </w:p>
        </w:tc>
      </w:tr>
      <w:tr>
        <w:tblPrEx>
          <w:tblLayout w:type="fixed"/>
          <w:tblCellMar>
            <w:top w:w="0" w:type="dxa"/>
            <w:left w:w="108" w:type="dxa"/>
            <w:bottom w:w="0" w:type="dxa"/>
            <w:right w:w="108" w:type="dxa"/>
          </w:tblCellMar>
        </w:tblPrEx>
        <w:trPr>
          <w:trHeight w:val="768" w:hRule="atLeast"/>
        </w:trPr>
        <w:tc>
          <w:tcPr>
            <w:tcW w:w="18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6719" w:type="dxa"/>
            <w:gridSpan w:val="3"/>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r>
      <w:tr>
        <w:tblPrEx>
          <w:tblLayout w:type="fixed"/>
          <w:tblCellMar>
            <w:top w:w="0" w:type="dxa"/>
            <w:left w:w="108" w:type="dxa"/>
            <w:bottom w:w="0" w:type="dxa"/>
            <w:right w:w="108" w:type="dxa"/>
          </w:tblCellMar>
        </w:tblPrEx>
        <w:trPr>
          <w:trHeight w:val="695" w:hRule="atLeast"/>
        </w:trPr>
        <w:tc>
          <w:tcPr>
            <w:tcW w:w="180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项目编号</w:t>
            </w:r>
          </w:p>
        </w:tc>
        <w:tc>
          <w:tcPr>
            <w:tcW w:w="6719" w:type="dxa"/>
            <w:gridSpan w:val="3"/>
            <w:tcBorders>
              <w:top w:val="single" w:color="auto" w:sz="4" w:space="0"/>
              <w:left w:val="nil"/>
              <w:bottom w:val="single" w:color="auto" w:sz="4" w:space="0"/>
              <w:right w:val="single" w:color="000000" w:sz="4" w:space="0"/>
            </w:tcBorders>
            <w:vAlign w:val="center"/>
          </w:tcPr>
          <w:p>
            <w:pPr>
              <w:widowControl/>
              <w:spacing w:line="360" w:lineRule="auto"/>
              <w:jc w:val="left"/>
              <w:rPr>
                <w:rFonts w:ascii="仿宋" w:hAnsi="仿宋" w:eastAsia="仿宋" w:cs="仿宋"/>
                <w:kern w:val="0"/>
                <w:szCs w:val="21"/>
              </w:rPr>
            </w:pPr>
          </w:p>
        </w:tc>
      </w:tr>
      <w:tr>
        <w:tblPrEx>
          <w:tblLayout w:type="fixed"/>
          <w:tblCellMar>
            <w:top w:w="0" w:type="dxa"/>
            <w:left w:w="108" w:type="dxa"/>
            <w:bottom w:w="0" w:type="dxa"/>
            <w:right w:w="108" w:type="dxa"/>
          </w:tblCellMar>
        </w:tblPrEx>
        <w:trPr>
          <w:trHeight w:val="825" w:hRule="atLeast"/>
        </w:trPr>
        <w:tc>
          <w:tcPr>
            <w:tcW w:w="180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谈判日期</w:t>
            </w:r>
          </w:p>
        </w:tc>
        <w:tc>
          <w:tcPr>
            <w:tcW w:w="195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w:t>
            </w:r>
          </w:p>
        </w:tc>
        <w:tc>
          <w:tcPr>
            <w:tcW w:w="164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谈判地点</w:t>
            </w:r>
          </w:p>
        </w:tc>
        <w:tc>
          <w:tcPr>
            <w:tcW w:w="311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公司名称</w:t>
            </w:r>
          </w:p>
        </w:tc>
        <w:tc>
          <w:tcPr>
            <w:tcW w:w="6719"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首次报价</w:t>
            </w:r>
          </w:p>
        </w:tc>
        <w:tc>
          <w:tcPr>
            <w:tcW w:w="6719"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最后报价</w:t>
            </w:r>
          </w:p>
        </w:tc>
        <w:tc>
          <w:tcPr>
            <w:tcW w:w="6719"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p>
        </w:tc>
      </w:tr>
      <w:tr>
        <w:tblPrEx>
          <w:tblLayout w:type="fixed"/>
          <w:tblCellMar>
            <w:top w:w="0" w:type="dxa"/>
            <w:left w:w="108" w:type="dxa"/>
            <w:bottom w:w="0" w:type="dxa"/>
            <w:right w:w="108" w:type="dxa"/>
          </w:tblCellMar>
        </w:tblPrEx>
        <w:trPr>
          <w:trHeight w:val="1110" w:hRule="atLeast"/>
        </w:trPr>
        <w:tc>
          <w:tcPr>
            <w:tcW w:w="852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p>
            <w:pPr>
              <w:widowControl/>
              <w:spacing w:line="360" w:lineRule="auto"/>
              <w:jc w:val="left"/>
              <w:rPr>
                <w:rFonts w:ascii="仿宋" w:hAnsi="仿宋" w:eastAsia="仿宋" w:cs="仿宋"/>
                <w:kern w:val="0"/>
                <w:szCs w:val="21"/>
              </w:rPr>
            </w:pPr>
          </w:p>
          <w:p>
            <w:pPr>
              <w:widowControl/>
              <w:spacing w:line="360" w:lineRule="auto"/>
              <w:ind w:firstLine="315" w:firstLineChars="150"/>
              <w:jc w:val="left"/>
              <w:rPr>
                <w:rFonts w:ascii="仿宋" w:hAnsi="仿宋" w:eastAsia="仿宋" w:cs="仿宋"/>
                <w:kern w:val="0"/>
                <w:szCs w:val="21"/>
              </w:rPr>
            </w:pPr>
            <w:r>
              <w:rPr>
                <w:rFonts w:hint="eastAsia" w:ascii="仿宋" w:hAnsi="仿宋" w:eastAsia="仿宋" w:cs="仿宋"/>
                <w:kern w:val="0"/>
                <w:szCs w:val="21"/>
              </w:rPr>
              <w:t>我公司承诺：</w:t>
            </w: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jc w:val="left"/>
              <w:rPr>
                <w:rFonts w:ascii="仿宋" w:hAnsi="仿宋" w:eastAsia="仿宋" w:cs="仿宋"/>
                <w:kern w:val="0"/>
                <w:szCs w:val="21"/>
              </w:rPr>
            </w:pPr>
          </w:p>
          <w:p>
            <w:pPr>
              <w:widowControl/>
              <w:spacing w:line="360" w:lineRule="auto"/>
              <w:ind w:firstLine="3360" w:firstLineChars="1600"/>
              <w:jc w:val="left"/>
              <w:rPr>
                <w:rFonts w:ascii="仿宋" w:hAnsi="仿宋" w:eastAsia="仿宋" w:cs="仿宋"/>
                <w:kern w:val="0"/>
                <w:szCs w:val="21"/>
              </w:rPr>
            </w:pPr>
            <w:r>
              <w:rPr>
                <w:rFonts w:hint="eastAsia" w:ascii="仿宋" w:hAnsi="仿宋" w:eastAsia="仿宋" w:cs="仿宋"/>
                <w:kern w:val="0"/>
                <w:szCs w:val="21"/>
              </w:rPr>
              <w:t>授权代表签字：</w:t>
            </w:r>
          </w:p>
          <w:p>
            <w:pPr>
              <w:widowControl/>
              <w:spacing w:line="360" w:lineRule="auto"/>
              <w:ind w:firstLine="3360" w:firstLineChars="1600"/>
              <w:jc w:val="left"/>
              <w:rPr>
                <w:rFonts w:ascii="仿宋" w:hAnsi="仿宋" w:eastAsia="仿宋" w:cs="仿宋"/>
                <w:kern w:val="0"/>
                <w:szCs w:val="21"/>
              </w:rPr>
            </w:pPr>
          </w:p>
        </w:tc>
      </w:tr>
      <w:bookmarkEnd w:id="35"/>
      <w:bookmarkEnd w:id="36"/>
    </w:tbl>
    <w:p>
      <w:pPr>
        <w:spacing w:line="360" w:lineRule="auto"/>
        <w:rPr>
          <w:rFonts w:ascii="仿宋" w:hAnsi="仿宋" w:eastAsia="仿宋" w:cs="仿宋"/>
          <w:b/>
          <w:szCs w:val="21"/>
        </w:rPr>
      </w:pPr>
    </w:p>
    <w:sectPr>
      <w:pgSz w:w="11907" w:h="16840"/>
      <w:pgMar w:top="1440" w:right="1304"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enlo">
    <w:altName w:val="Segoe Print"/>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Light">
    <w:altName w:val="微软雅黑"/>
    <w:panose1 w:val="00000000000000000000"/>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5" o:spid="_x0000_s2052"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4"/>
    <w:multiLevelType w:val="multilevel"/>
    <w:tmpl w:val="00000044"/>
    <w:lvl w:ilvl="0" w:tentative="0">
      <w:start w:val="1"/>
      <w:numFmt w:val="decimal"/>
      <w:pStyle w:val="142"/>
      <w:lvlText w:val="%1、"/>
      <w:lvlJc w:val="left"/>
      <w:pPr>
        <w:tabs>
          <w:tab w:val="left" w:pos="420"/>
        </w:tabs>
        <w:ind w:left="420" w:hanging="420"/>
      </w:pPr>
      <w:rPr>
        <w:rFonts w:hint="eastAsia"/>
      </w:rPr>
    </w:lvl>
    <w:lvl w:ilvl="1" w:tentative="0">
      <w:start w:val="1"/>
      <w:numFmt w:val="decimal"/>
      <w:lvlText w:val="%2、"/>
      <w:lvlJc w:val="left"/>
      <w:pPr>
        <w:tabs>
          <w:tab w:val="left" w:pos="420"/>
        </w:tabs>
        <w:ind w:left="42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B35329"/>
    <w:multiLevelType w:val="multilevel"/>
    <w:tmpl w:val="2AB35329"/>
    <w:lvl w:ilvl="0" w:tentative="0">
      <w:start w:val="1"/>
      <w:numFmt w:val="decimal"/>
      <w:pStyle w:val="154"/>
      <w:lvlText w:val="%1、"/>
      <w:lvlJc w:val="left"/>
      <w:pPr>
        <w:tabs>
          <w:tab w:val="left" w:pos="840"/>
        </w:tabs>
        <w:ind w:left="840" w:hanging="360"/>
      </w:pPr>
      <w:rPr>
        <w:rFonts w:hint="default"/>
      </w:rPr>
    </w:lvl>
    <w:lvl w:ilvl="1" w:tentative="0">
      <w:start w:val="1"/>
      <w:numFmt w:val="decimal"/>
      <w:lvlText w:val="%2."/>
      <w:lvlJc w:val="left"/>
      <w:pPr>
        <w:tabs>
          <w:tab w:val="left" w:pos="1635"/>
        </w:tabs>
        <w:ind w:left="1635" w:hanging="735"/>
      </w:pPr>
      <w:rPr>
        <w:rFonts w:hint="default"/>
      </w:rPr>
    </w:lvl>
    <w:lvl w:ilvl="2" w:tentative="0">
      <w:start w:val="4"/>
      <w:numFmt w:val="japaneseCounting"/>
      <w:lvlText w:val="%3、"/>
      <w:lvlJc w:val="left"/>
      <w:pPr>
        <w:tabs>
          <w:tab w:val="left" w:pos="1740"/>
        </w:tabs>
        <w:ind w:left="1740" w:hanging="42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51F227F"/>
    <w:multiLevelType w:val="multilevel"/>
    <w:tmpl w:val="351F227F"/>
    <w:lvl w:ilvl="0" w:tentative="0">
      <w:start w:val="1"/>
      <w:numFmt w:val="decimal"/>
      <w:lvlText w:val="（%1）"/>
      <w:lvlJc w:val="left"/>
      <w:pPr>
        <w:tabs>
          <w:tab w:val="left" w:pos="1200"/>
        </w:tabs>
        <w:ind w:left="1200" w:hanging="720"/>
      </w:pPr>
      <w:rPr>
        <w:rFonts w:hint="default"/>
      </w:rPr>
    </w:lvl>
    <w:lvl w:ilvl="1" w:tentative="0">
      <w:start w:val="2"/>
      <w:numFmt w:val="decimal"/>
      <w:lvlText w:val="（%2）"/>
      <w:lvlJc w:val="left"/>
      <w:pPr>
        <w:tabs>
          <w:tab w:val="left" w:pos="1140"/>
        </w:tabs>
        <w:ind w:left="1140" w:hanging="720"/>
      </w:pPr>
      <w:rPr>
        <w:rFonts w:hint="default"/>
      </w:rPr>
    </w:lvl>
    <w:lvl w:ilvl="2" w:tentative="0">
      <w:start w:val="1"/>
      <w:numFmt w:val="lowerRoman"/>
      <w:pStyle w:val="148"/>
      <w:lvlText w:val="%3."/>
      <w:lvlJc w:val="right"/>
      <w:pPr>
        <w:tabs>
          <w:tab w:val="left" w:pos="1260"/>
        </w:tabs>
        <w:ind w:left="1260" w:hanging="420"/>
      </w:pPr>
    </w:lvl>
    <w:lvl w:ilvl="3" w:tentative="0">
      <w:start w:val="1"/>
      <w:numFmt w:val="decimal"/>
      <w:pStyle w:val="1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223372"/>
    <w:multiLevelType w:val="singleLevel"/>
    <w:tmpl w:val="54223372"/>
    <w:lvl w:ilvl="0" w:tentative="0">
      <w:start w:val="1"/>
      <w:numFmt w:val="decimal"/>
      <w:suff w:val="nothing"/>
      <w:lvlText w:val="%1、"/>
      <w:lvlJc w:val="left"/>
    </w:lvl>
  </w:abstractNum>
  <w:abstractNum w:abstractNumId="4">
    <w:nsid w:val="62B45774"/>
    <w:multiLevelType w:val="singleLevel"/>
    <w:tmpl w:val="62B45774"/>
    <w:lvl w:ilvl="0" w:tentative="0">
      <w:start w:val="1"/>
      <w:numFmt w:val="decimal"/>
      <w:lvlText w:val="%1．"/>
      <w:lvlJc w:val="left"/>
      <w:pPr>
        <w:tabs>
          <w:tab w:val="left" w:pos="945"/>
        </w:tabs>
        <w:ind w:left="945" w:hanging="420"/>
      </w:pPr>
      <w:rPr>
        <w:rFonts w:hint="eastAsia"/>
      </w:rPr>
    </w:lvl>
  </w:abstractNum>
  <w:abstractNum w:abstractNumId="5">
    <w:nsid w:val="6CEA2025"/>
    <w:multiLevelType w:val="multilevel"/>
    <w:tmpl w:val="6CEA2025"/>
    <w:lvl w:ilvl="0" w:tentative="0">
      <w:start w:val="1"/>
      <w:numFmt w:val="none"/>
      <w:pStyle w:val="166"/>
      <w:suff w:val="nothing"/>
      <w:lvlText w:val="%1"/>
      <w:lvlJc w:val="left"/>
      <w:pPr>
        <w:ind w:left="0" w:firstLine="0"/>
      </w:pPr>
      <w:rPr>
        <w:rFonts w:hint="default" w:ascii="Times New Roman" w:hAnsi="Times New Roman"/>
        <w:b/>
        <w:i w:val="0"/>
        <w:sz w:val="21"/>
      </w:rPr>
    </w:lvl>
    <w:lvl w:ilvl="1" w:tentative="0">
      <w:start w:val="1"/>
      <w:numFmt w:val="decimal"/>
      <w:pStyle w:val="153"/>
      <w:suff w:val="nothing"/>
      <w:lvlText w:val="%1%2　"/>
      <w:lvlJc w:val="left"/>
      <w:pPr>
        <w:ind w:left="0" w:firstLine="0"/>
      </w:pPr>
      <w:rPr>
        <w:rFonts w:hint="eastAsia" w:ascii="黑体" w:hAnsi="Times New Roman" w:eastAsia="黑体"/>
        <w:b w:val="0"/>
        <w:i w:val="0"/>
        <w:sz w:val="21"/>
      </w:rPr>
    </w:lvl>
    <w:lvl w:ilvl="2" w:tentative="0">
      <w:start w:val="1"/>
      <w:numFmt w:val="decimal"/>
      <w:pStyle w:val="130"/>
      <w:suff w:val="nothing"/>
      <w:lvlText w:val="%1%2.%3　"/>
      <w:lvlJc w:val="left"/>
      <w:pPr>
        <w:ind w:left="0" w:firstLine="0"/>
      </w:pPr>
      <w:rPr>
        <w:rFonts w:hint="eastAsia" w:ascii="黑体" w:hAnsi="Times New Roman" w:eastAsia="黑体"/>
        <w:b w:val="0"/>
        <w:i w:val="0"/>
        <w:sz w:val="21"/>
      </w:rPr>
    </w:lvl>
    <w:lvl w:ilvl="3" w:tentative="0">
      <w:start w:val="1"/>
      <w:numFmt w:val="decimal"/>
      <w:pStyle w:val="129"/>
      <w:suff w:val="nothing"/>
      <w:lvlText w:val="%1%2.%3.%4　"/>
      <w:lvlJc w:val="left"/>
      <w:pPr>
        <w:ind w:left="735" w:firstLine="0"/>
      </w:pPr>
      <w:rPr>
        <w:rFonts w:hint="eastAsia" w:ascii="黑体" w:hAnsi="Times New Roman" w:eastAsia="黑体"/>
        <w:b w:val="0"/>
        <w:i w:val="0"/>
        <w:sz w:val="21"/>
      </w:rPr>
    </w:lvl>
    <w:lvl w:ilvl="4" w:tentative="0">
      <w:start w:val="1"/>
      <w:numFmt w:val="decimal"/>
      <w:pStyle w:val="139"/>
      <w:suff w:val="nothing"/>
      <w:lvlText w:val="%5．"/>
      <w:lvlJc w:val="left"/>
      <w:pPr>
        <w:ind w:left="0" w:firstLine="0"/>
      </w:pPr>
      <w:rPr>
        <w:rFonts w:ascii="Times New Roman" w:hAnsi="Times New Roman" w:eastAsia="Times New Roman" w:cs="Times New Roman"/>
        <w:b w:val="0"/>
        <w:i w:val="0"/>
        <w:sz w:val="21"/>
      </w:rPr>
    </w:lvl>
    <w:lvl w:ilvl="5" w:tentative="0">
      <w:start w:val="1"/>
      <w:numFmt w:val="decimal"/>
      <w:pStyle w:val="146"/>
      <w:suff w:val="nothing"/>
      <w:lvlText w:val="%1%2.%3.%4.%5.%6　"/>
      <w:lvlJc w:val="left"/>
      <w:pPr>
        <w:ind w:left="0" w:firstLine="0"/>
      </w:pPr>
      <w:rPr>
        <w:rFonts w:hint="eastAsia" w:ascii="黑体" w:hAnsi="Times New Roman" w:eastAsia="黑体"/>
        <w:b w:val="0"/>
        <w:i w:val="0"/>
        <w:sz w:val="21"/>
      </w:rPr>
    </w:lvl>
    <w:lvl w:ilvl="6" w:tentative="0">
      <w:start w:val="1"/>
      <w:numFmt w:val="decimal"/>
      <w:pStyle w:val="14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1616C9F"/>
    <w:multiLevelType w:val="multilevel"/>
    <w:tmpl w:val="71616C9F"/>
    <w:lvl w:ilvl="0" w:tentative="0">
      <w:start w:val="1"/>
      <w:numFmt w:val="decimal"/>
      <w:lvlText w:val="%1."/>
      <w:lvlJc w:val="left"/>
      <w:pPr>
        <w:tabs>
          <w:tab w:val="left" w:pos="425"/>
        </w:tabs>
        <w:ind w:left="425" w:hanging="425"/>
      </w:pPr>
      <w:rPr>
        <w:rFonts w:hint="eastAsia"/>
      </w:rPr>
    </w:lvl>
    <w:lvl w:ilvl="1" w:tentative="0">
      <w:start w:val="1"/>
      <w:numFmt w:val="decimal"/>
      <w:pStyle w:val="132"/>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5"/>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172A27"/>
    <w:rsid w:val="00001BDB"/>
    <w:rsid w:val="00007B1E"/>
    <w:rsid w:val="00016B5B"/>
    <w:rsid w:val="00021794"/>
    <w:rsid w:val="0008060D"/>
    <w:rsid w:val="00095201"/>
    <w:rsid w:val="000B06B3"/>
    <w:rsid w:val="000D7F8C"/>
    <w:rsid w:val="000E7473"/>
    <w:rsid w:val="00101739"/>
    <w:rsid w:val="00110902"/>
    <w:rsid w:val="001141CB"/>
    <w:rsid w:val="00122BFE"/>
    <w:rsid w:val="00124D68"/>
    <w:rsid w:val="00130413"/>
    <w:rsid w:val="00141959"/>
    <w:rsid w:val="00141ED6"/>
    <w:rsid w:val="0016773A"/>
    <w:rsid w:val="00172A27"/>
    <w:rsid w:val="00182DF1"/>
    <w:rsid w:val="001D328E"/>
    <w:rsid w:val="001E4F81"/>
    <w:rsid w:val="001E5A75"/>
    <w:rsid w:val="00220578"/>
    <w:rsid w:val="002210AF"/>
    <w:rsid w:val="00224873"/>
    <w:rsid w:val="00224DF6"/>
    <w:rsid w:val="002528E0"/>
    <w:rsid w:val="00280C68"/>
    <w:rsid w:val="002A7D52"/>
    <w:rsid w:val="002C0E31"/>
    <w:rsid w:val="002C20EB"/>
    <w:rsid w:val="002E22ED"/>
    <w:rsid w:val="0031103D"/>
    <w:rsid w:val="003363C9"/>
    <w:rsid w:val="00342D80"/>
    <w:rsid w:val="003611D2"/>
    <w:rsid w:val="00372079"/>
    <w:rsid w:val="0038132E"/>
    <w:rsid w:val="00381CA7"/>
    <w:rsid w:val="003915C7"/>
    <w:rsid w:val="003E4B0E"/>
    <w:rsid w:val="00422BF2"/>
    <w:rsid w:val="00446D8A"/>
    <w:rsid w:val="00451182"/>
    <w:rsid w:val="00452FF0"/>
    <w:rsid w:val="00482D63"/>
    <w:rsid w:val="00485A7B"/>
    <w:rsid w:val="00494CF2"/>
    <w:rsid w:val="004A0FAB"/>
    <w:rsid w:val="004B6F3B"/>
    <w:rsid w:val="004D473B"/>
    <w:rsid w:val="004E0AF9"/>
    <w:rsid w:val="004F62F2"/>
    <w:rsid w:val="004F673F"/>
    <w:rsid w:val="00516AA7"/>
    <w:rsid w:val="0052012D"/>
    <w:rsid w:val="005924BF"/>
    <w:rsid w:val="005B07FA"/>
    <w:rsid w:val="005C28B6"/>
    <w:rsid w:val="005D131A"/>
    <w:rsid w:val="006072CA"/>
    <w:rsid w:val="00607D47"/>
    <w:rsid w:val="0062687E"/>
    <w:rsid w:val="00640DEF"/>
    <w:rsid w:val="006A208B"/>
    <w:rsid w:val="006A4C91"/>
    <w:rsid w:val="006A7FE5"/>
    <w:rsid w:val="006C364B"/>
    <w:rsid w:val="006C7327"/>
    <w:rsid w:val="006F451C"/>
    <w:rsid w:val="006F6186"/>
    <w:rsid w:val="00722542"/>
    <w:rsid w:val="007308EA"/>
    <w:rsid w:val="00744830"/>
    <w:rsid w:val="007451FA"/>
    <w:rsid w:val="00751970"/>
    <w:rsid w:val="00755F88"/>
    <w:rsid w:val="00761EFE"/>
    <w:rsid w:val="007727F7"/>
    <w:rsid w:val="00775BF9"/>
    <w:rsid w:val="00794F89"/>
    <w:rsid w:val="007D3358"/>
    <w:rsid w:val="007F6F9A"/>
    <w:rsid w:val="008004A1"/>
    <w:rsid w:val="008239C1"/>
    <w:rsid w:val="008478E0"/>
    <w:rsid w:val="00861B8B"/>
    <w:rsid w:val="008A0F53"/>
    <w:rsid w:val="008A4488"/>
    <w:rsid w:val="008B7A76"/>
    <w:rsid w:val="008C549D"/>
    <w:rsid w:val="00905D00"/>
    <w:rsid w:val="00907B58"/>
    <w:rsid w:val="009239EB"/>
    <w:rsid w:val="00935C57"/>
    <w:rsid w:val="00952A93"/>
    <w:rsid w:val="00985FF8"/>
    <w:rsid w:val="00986F59"/>
    <w:rsid w:val="00993A97"/>
    <w:rsid w:val="00994A76"/>
    <w:rsid w:val="009D2E0B"/>
    <w:rsid w:val="009E4AD2"/>
    <w:rsid w:val="00A058C8"/>
    <w:rsid w:val="00A12884"/>
    <w:rsid w:val="00A15AE1"/>
    <w:rsid w:val="00A26D19"/>
    <w:rsid w:val="00A365E8"/>
    <w:rsid w:val="00A456CB"/>
    <w:rsid w:val="00A606F5"/>
    <w:rsid w:val="00A86CEF"/>
    <w:rsid w:val="00A93C85"/>
    <w:rsid w:val="00AA6A88"/>
    <w:rsid w:val="00AD275E"/>
    <w:rsid w:val="00AD509E"/>
    <w:rsid w:val="00AE4BE7"/>
    <w:rsid w:val="00B16286"/>
    <w:rsid w:val="00B274A1"/>
    <w:rsid w:val="00B361B7"/>
    <w:rsid w:val="00B368F8"/>
    <w:rsid w:val="00B40C24"/>
    <w:rsid w:val="00B472CF"/>
    <w:rsid w:val="00B513D6"/>
    <w:rsid w:val="00B6037B"/>
    <w:rsid w:val="00B603B8"/>
    <w:rsid w:val="00B65534"/>
    <w:rsid w:val="00B76547"/>
    <w:rsid w:val="00B8751B"/>
    <w:rsid w:val="00BC48D8"/>
    <w:rsid w:val="00BC6EDB"/>
    <w:rsid w:val="00BE4E59"/>
    <w:rsid w:val="00C12023"/>
    <w:rsid w:val="00C35286"/>
    <w:rsid w:val="00C429A9"/>
    <w:rsid w:val="00C57A45"/>
    <w:rsid w:val="00C739A0"/>
    <w:rsid w:val="00CB493F"/>
    <w:rsid w:val="00CE325C"/>
    <w:rsid w:val="00CE775E"/>
    <w:rsid w:val="00CF544F"/>
    <w:rsid w:val="00D62D6F"/>
    <w:rsid w:val="00D6444E"/>
    <w:rsid w:val="00DA6CCB"/>
    <w:rsid w:val="00DE2224"/>
    <w:rsid w:val="00E51B1B"/>
    <w:rsid w:val="00E538BC"/>
    <w:rsid w:val="00E55F7E"/>
    <w:rsid w:val="00E65523"/>
    <w:rsid w:val="00E73FF6"/>
    <w:rsid w:val="00E81928"/>
    <w:rsid w:val="00E91769"/>
    <w:rsid w:val="00E93236"/>
    <w:rsid w:val="00EB5F08"/>
    <w:rsid w:val="00ED61D3"/>
    <w:rsid w:val="00ED63EA"/>
    <w:rsid w:val="00ED6D02"/>
    <w:rsid w:val="00EE1456"/>
    <w:rsid w:val="00EE48A0"/>
    <w:rsid w:val="00EE7840"/>
    <w:rsid w:val="00EF0A6B"/>
    <w:rsid w:val="00F04CDA"/>
    <w:rsid w:val="00F13B64"/>
    <w:rsid w:val="00F40BD3"/>
    <w:rsid w:val="00F564FB"/>
    <w:rsid w:val="00F768A6"/>
    <w:rsid w:val="00F839C6"/>
    <w:rsid w:val="00F9068A"/>
    <w:rsid w:val="00F9265C"/>
    <w:rsid w:val="00F9496D"/>
    <w:rsid w:val="00F9576D"/>
    <w:rsid w:val="00FA5B0A"/>
    <w:rsid w:val="00FA61B0"/>
    <w:rsid w:val="00FD4EB8"/>
    <w:rsid w:val="00FE0CAE"/>
    <w:rsid w:val="03572FAB"/>
    <w:rsid w:val="07671CED"/>
    <w:rsid w:val="09605E9B"/>
    <w:rsid w:val="0C4A4C4C"/>
    <w:rsid w:val="250E4B98"/>
    <w:rsid w:val="35B55E97"/>
    <w:rsid w:val="43536D0A"/>
    <w:rsid w:val="453A3EB0"/>
    <w:rsid w:val="45DD6EC3"/>
    <w:rsid w:val="50F3550C"/>
    <w:rsid w:val="575F732B"/>
    <w:rsid w:val="677139F9"/>
    <w:rsid w:val="686665F6"/>
    <w:rsid w:val="6ACB2BC3"/>
    <w:rsid w:val="71C904A2"/>
    <w:rsid w:val="7726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0" w:semiHidden="0" w:name="HTML Code"/>
    <w:lsdException w:qFormat="1" w:uiPriority="0" w:semiHidden="0" w:name="HTML Definition"/>
    <w:lsdException w:uiPriority="0" w:semiHidden="0" w:name="HTML Keyboard"/>
    <w:lsdException w:uiPriority="99"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81"/>
    <w:qFormat/>
    <w:uiPriority w:val="0"/>
    <w:pPr>
      <w:keepNext/>
      <w:keepLines/>
      <w:spacing w:before="340" w:after="330" w:line="578" w:lineRule="auto"/>
      <w:jc w:val="center"/>
      <w:outlineLvl w:val="0"/>
    </w:pPr>
    <w:rPr>
      <w:b/>
      <w:kern w:val="44"/>
      <w:sz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after="260" w:line="416" w:lineRule="auto"/>
      <w:outlineLvl w:val="2"/>
    </w:pPr>
    <w:rPr>
      <w:b/>
      <w:bCs/>
      <w:sz w:val="32"/>
      <w:szCs w:val="32"/>
    </w:rPr>
  </w:style>
  <w:style w:type="paragraph" w:styleId="5">
    <w:name w:val="heading 4"/>
    <w:basedOn w:val="1"/>
    <w:next w:val="1"/>
    <w:link w:val="9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106"/>
    <w:qFormat/>
    <w:uiPriority w:val="0"/>
    <w:pPr>
      <w:keepNext/>
      <w:keepLines/>
      <w:spacing w:before="240" w:after="64" w:line="320" w:lineRule="auto"/>
      <w:outlineLvl w:val="6"/>
    </w:pPr>
    <w:rPr>
      <w:b/>
      <w:bCs/>
      <w:sz w:val="24"/>
      <w:szCs w:val="24"/>
    </w:rPr>
  </w:style>
  <w:style w:type="paragraph" w:styleId="9">
    <w:name w:val="heading 8"/>
    <w:basedOn w:val="1"/>
    <w:next w:val="1"/>
    <w:link w:val="97"/>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51"/>
    <w:qFormat/>
    <w:uiPriority w:val="0"/>
    <w:pPr>
      <w:keepNext/>
      <w:keepLines/>
      <w:spacing w:before="240" w:after="64" w:line="320" w:lineRule="auto"/>
      <w:outlineLvl w:val="8"/>
    </w:pPr>
    <w:rPr>
      <w:rFonts w:ascii="Arial" w:hAnsi="Arial" w:eastAsia="黑体"/>
      <w:szCs w:val="21"/>
    </w:rPr>
  </w:style>
  <w:style w:type="character" w:default="1" w:styleId="38">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09"/>
    <w:uiPriority w:val="0"/>
    <w:rPr>
      <w:b/>
      <w:bCs/>
    </w:rPr>
  </w:style>
  <w:style w:type="paragraph" w:styleId="12">
    <w:name w:val="annotation text"/>
    <w:basedOn w:val="1"/>
    <w:link w:val="59"/>
    <w:uiPriority w:val="99"/>
    <w:pPr>
      <w:jc w:val="left"/>
    </w:pPr>
    <w:rPr>
      <w:kern w:val="0"/>
      <w:sz w:val="20"/>
      <w:szCs w:val="24"/>
    </w:rPr>
  </w:style>
  <w:style w:type="paragraph" w:styleId="13">
    <w:name w:val="toc 7"/>
    <w:basedOn w:val="1"/>
    <w:next w:val="1"/>
    <w:uiPriority w:val="0"/>
    <w:pPr>
      <w:ind w:left="2520" w:leftChars="1200"/>
    </w:pPr>
    <w:rPr>
      <w:szCs w:val="24"/>
    </w:rPr>
  </w:style>
  <w:style w:type="paragraph" w:styleId="14">
    <w:name w:val="Normal Indent"/>
    <w:basedOn w:val="1"/>
    <w:uiPriority w:val="0"/>
    <w:pPr>
      <w:autoSpaceDE w:val="0"/>
      <w:autoSpaceDN w:val="0"/>
      <w:adjustRightInd w:val="0"/>
      <w:ind w:firstLine="420"/>
      <w:jc w:val="left"/>
    </w:pPr>
    <w:rPr>
      <w:rFonts w:ascii="宋体"/>
      <w:kern w:val="0"/>
      <w:sz w:val="24"/>
    </w:rPr>
  </w:style>
  <w:style w:type="paragraph" w:styleId="15">
    <w:name w:val="Document Map"/>
    <w:basedOn w:val="1"/>
    <w:link w:val="110"/>
    <w:uiPriority w:val="0"/>
    <w:pPr>
      <w:shd w:val="clear" w:color="auto" w:fill="000080"/>
    </w:pPr>
  </w:style>
  <w:style w:type="paragraph" w:styleId="16">
    <w:name w:val="Body Text"/>
    <w:basedOn w:val="1"/>
    <w:link w:val="78"/>
    <w:uiPriority w:val="0"/>
    <w:pPr>
      <w:tabs>
        <w:tab w:val="left" w:pos="567"/>
      </w:tabs>
      <w:spacing w:before="120" w:line="22" w:lineRule="atLeast"/>
    </w:pPr>
    <w:rPr>
      <w:kern w:val="0"/>
      <w:sz w:val="20"/>
      <w:szCs w:val="24"/>
    </w:rPr>
  </w:style>
  <w:style w:type="paragraph" w:styleId="17">
    <w:name w:val="Body Text Indent"/>
    <w:basedOn w:val="1"/>
    <w:link w:val="112"/>
    <w:uiPriority w:val="0"/>
    <w:pPr>
      <w:ind w:firstLine="540"/>
    </w:pPr>
    <w:rPr>
      <w:sz w:val="28"/>
    </w:rPr>
  </w:style>
  <w:style w:type="paragraph" w:styleId="18">
    <w:name w:val="toc 5"/>
    <w:basedOn w:val="1"/>
    <w:next w:val="1"/>
    <w:uiPriority w:val="0"/>
    <w:pPr>
      <w:ind w:left="1680" w:leftChars="800"/>
    </w:pPr>
    <w:rPr>
      <w:szCs w:val="24"/>
    </w:rPr>
  </w:style>
  <w:style w:type="paragraph" w:styleId="19">
    <w:name w:val="toc 3"/>
    <w:basedOn w:val="1"/>
    <w:next w:val="1"/>
    <w:unhideWhenUsed/>
    <w:qFormat/>
    <w:uiPriority w:val="0"/>
    <w:pPr>
      <w:widowControl/>
      <w:spacing w:after="100" w:line="276" w:lineRule="auto"/>
      <w:ind w:left="440"/>
      <w:jc w:val="left"/>
    </w:pPr>
    <w:rPr>
      <w:kern w:val="0"/>
      <w:sz w:val="22"/>
      <w:szCs w:val="22"/>
    </w:rPr>
  </w:style>
  <w:style w:type="paragraph" w:styleId="20">
    <w:name w:val="Plain Text"/>
    <w:basedOn w:val="1"/>
    <w:link w:val="94"/>
    <w:uiPriority w:val="0"/>
    <w:rPr>
      <w:rFonts w:ascii="宋体" w:hAnsi="Courier New"/>
    </w:rPr>
  </w:style>
  <w:style w:type="paragraph" w:styleId="21">
    <w:name w:val="toc 8"/>
    <w:basedOn w:val="1"/>
    <w:next w:val="1"/>
    <w:uiPriority w:val="0"/>
    <w:pPr>
      <w:ind w:left="2940" w:leftChars="1400"/>
    </w:pPr>
    <w:rPr>
      <w:szCs w:val="24"/>
    </w:rPr>
  </w:style>
  <w:style w:type="paragraph" w:styleId="22">
    <w:name w:val="Date"/>
    <w:basedOn w:val="1"/>
    <w:next w:val="1"/>
    <w:link w:val="55"/>
    <w:uiPriority w:val="99"/>
    <w:rPr>
      <w:sz w:val="28"/>
    </w:rPr>
  </w:style>
  <w:style w:type="paragraph" w:styleId="23">
    <w:name w:val="Body Text Indent 2"/>
    <w:basedOn w:val="1"/>
    <w:link w:val="70"/>
    <w:uiPriority w:val="0"/>
    <w:pPr>
      <w:spacing w:after="120" w:line="480" w:lineRule="auto"/>
      <w:ind w:left="420" w:leftChars="200"/>
    </w:pPr>
  </w:style>
  <w:style w:type="paragraph" w:styleId="24">
    <w:name w:val="endnote text"/>
    <w:basedOn w:val="1"/>
    <w:link w:val="118"/>
    <w:uiPriority w:val="0"/>
    <w:pPr>
      <w:snapToGrid w:val="0"/>
      <w:jc w:val="left"/>
    </w:pPr>
    <w:rPr>
      <w:szCs w:val="24"/>
    </w:rPr>
  </w:style>
  <w:style w:type="paragraph" w:styleId="25">
    <w:name w:val="Balloon Text"/>
    <w:basedOn w:val="1"/>
    <w:link w:val="74"/>
    <w:uiPriority w:val="0"/>
    <w:rPr>
      <w:sz w:val="18"/>
      <w:szCs w:val="18"/>
    </w:rPr>
  </w:style>
  <w:style w:type="paragraph" w:styleId="26">
    <w:name w:val="footer"/>
    <w:basedOn w:val="1"/>
    <w:link w:val="61"/>
    <w:uiPriority w:val="99"/>
    <w:pPr>
      <w:tabs>
        <w:tab w:val="center" w:pos="4153"/>
        <w:tab w:val="right" w:pos="8306"/>
      </w:tabs>
      <w:snapToGrid w:val="0"/>
      <w:jc w:val="left"/>
    </w:pPr>
    <w:rPr>
      <w:sz w:val="18"/>
    </w:rPr>
  </w:style>
  <w:style w:type="paragraph" w:styleId="27">
    <w:name w:val="header"/>
    <w:basedOn w:val="1"/>
    <w:link w:val="71"/>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before="120" w:after="120"/>
      <w:ind w:left="567" w:right="567"/>
      <w:jc w:val="left"/>
    </w:pPr>
    <w:rPr>
      <w:b/>
      <w:caps/>
      <w:sz w:val="30"/>
    </w:rPr>
  </w:style>
  <w:style w:type="paragraph" w:styleId="29">
    <w:name w:val="toc 4"/>
    <w:basedOn w:val="1"/>
    <w:next w:val="1"/>
    <w:uiPriority w:val="0"/>
    <w:pPr>
      <w:ind w:left="1260" w:leftChars="600"/>
    </w:pPr>
    <w:rPr>
      <w:szCs w:val="24"/>
    </w:rPr>
  </w:style>
  <w:style w:type="paragraph" w:styleId="30">
    <w:name w:val="toc 6"/>
    <w:basedOn w:val="1"/>
    <w:next w:val="1"/>
    <w:uiPriority w:val="0"/>
    <w:pPr>
      <w:ind w:left="2100" w:leftChars="1000"/>
    </w:pPr>
    <w:rPr>
      <w:szCs w:val="24"/>
    </w:rPr>
  </w:style>
  <w:style w:type="paragraph" w:styleId="31">
    <w:name w:val="Body Text Indent 3"/>
    <w:basedOn w:val="1"/>
    <w:link w:val="60"/>
    <w:uiPriority w:val="0"/>
    <w:pPr>
      <w:ind w:left="2" w:firstLine="628"/>
    </w:pPr>
    <w:rPr>
      <w:rFonts w:ascii="Arial" w:hAnsi="Arial" w:eastAsia="仿宋_GB2312"/>
      <w:b/>
      <w:sz w:val="32"/>
    </w:rPr>
  </w:style>
  <w:style w:type="paragraph" w:styleId="32">
    <w:name w:val="toc 2"/>
    <w:basedOn w:val="1"/>
    <w:next w:val="1"/>
    <w:unhideWhenUsed/>
    <w:qFormat/>
    <w:uiPriority w:val="39"/>
    <w:pPr>
      <w:widowControl/>
      <w:spacing w:after="100" w:line="276" w:lineRule="auto"/>
      <w:ind w:left="220"/>
      <w:jc w:val="left"/>
    </w:pPr>
    <w:rPr>
      <w:kern w:val="0"/>
      <w:sz w:val="22"/>
      <w:szCs w:val="22"/>
    </w:rPr>
  </w:style>
  <w:style w:type="paragraph" w:styleId="33">
    <w:name w:val="toc 9"/>
    <w:basedOn w:val="1"/>
    <w:next w:val="1"/>
    <w:uiPriority w:val="0"/>
    <w:pPr>
      <w:ind w:left="3360" w:leftChars="1600"/>
    </w:pPr>
    <w:rPr>
      <w:szCs w:val="24"/>
    </w:rPr>
  </w:style>
  <w:style w:type="paragraph" w:styleId="34">
    <w:name w:val="HTML Preformatted"/>
    <w:basedOn w:val="1"/>
    <w:link w:val="120"/>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36">
    <w:name w:val="index 1"/>
    <w:basedOn w:val="1"/>
    <w:next w:val="1"/>
    <w:uiPriority w:val="0"/>
  </w:style>
  <w:style w:type="paragraph" w:styleId="37">
    <w:name w:val="Title"/>
    <w:basedOn w:val="1"/>
    <w:link w:val="73"/>
    <w:qFormat/>
    <w:uiPriority w:val="0"/>
    <w:pPr>
      <w:jc w:val="center"/>
    </w:pPr>
    <w:rPr>
      <w:sz w:val="32"/>
      <w:szCs w:val="24"/>
    </w:rPr>
  </w:style>
  <w:style w:type="character" w:styleId="39">
    <w:name w:val="Strong"/>
    <w:qFormat/>
    <w:uiPriority w:val="0"/>
    <w:rPr>
      <w:b/>
      <w:bCs/>
    </w:rPr>
  </w:style>
  <w:style w:type="character" w:styleId="40">
    <w:name w:val="endnote reference"/>
    <w:uiPriority w:val="0"/>
    <w:rPr>
      <w:vertAlign w:val="superscript"/>
    </w:rPr>
  </w:style>
  <w:style w:type="character" w:styleId="41">
    <w:name w:val="page number"/>
    <w:qFormat/>
    <w:uiPriority w:val="0"/>
  </w:style>
  <w:style w:type="character" w:styleId="42">
    <w:name w:val="FollowedHyperlink"/>
    <w:uiPriority w:val="0"/>
    <w:rPr>
      <w:color w:val="800080"/>
      <w:u w:val="single"/>
    </w:rPr>
  </w:style>
  <w:style w:type="character" w:styleId="43">
    <w:name w:val="HTML Definition"/>
    <w:unhideWhenUsed/>
    <w:qFormat/>
    <w:uiPriority w:val="0"/>
    <w:rPr>
      <w:i/>
      <w:color w:val="337AB7"/>
      <w:u w:val="none"/>
    </w:rPr>
  </w:style>
  <w:style w:type="character" w:styleId="44">
    <w:name w:val="Hyperlink"/>
    <w:unhideWhenUsed/>
    <w:qFormat/>
    <w:uiPriority w:val="99"/>
    <w:rPr>
      <w:color w:val="0000FF"/>
      <w:u w:val="single"/>
    </w:rPr>
  </w:style>
  <w:style w:type="character" w:styleId="45">
    <w:name w:val="HTML Code"/>
    <w:unhideWhenUsed/>
    <w:uiPriority w:val="0"/>
    <w:rPr>
      <w:rFonts w:hint="default" w:ascii="Menlo" w:hAnsi="Menlo" w:eastAsia="Menlo" w:cs="Menlo"/>
      <w:color w:val="C7254E"/>
      <w:sz w:val="21"/>
      <w:szCs w:val="21"/>
      <w:shd w:val="clear" w:color="auto" w:fill="F9F2F4"/>
    </w:rPr>
  </w:style>
  <w:style w:type="character" w:styleId="46">
    <w:name w:val="annotation reference"/>
    <w:qFormat/>
    <w:uiPriority w:val="0"/>
    <w:rPr>
      <w:rFonts w:cs="Times New Roman"/>
      <w:sz w:val="21"/>
      <w:szCs w:val="21"/>
    </w:rPr>
  </w:style>
  <w:style w:type="character" w:styleId="47">
    <w:name w:val="HTML Keyboard"/>
    <w:unhideWhenUsed/>
    <w:uiPriority w:val="0"/>
    <w:rPr>
      <w:rFonts w:ascii="Menlo" w:hAnsi="Menlo" w:eastAsia="Menlo" w:cs="Menlo"/>
      <w:color w:val="FFFFFF"/>
      <w:sz w:val="21"/>
      <w:szCs w:val="21"/>
      <w:shd w:val="clear" w:color="auto" w:fill="333333"/>
    </w:rPr>
  </w:style>
  <w:style w:type="character" w:styleId="48">
    <w:name w:val="HTML Sample"/>
    <w:unhideWhenUsed/>
    <w:qFormat/>
    <w:uiPriority w:val="0"/>
    <w:rPr>
      <w:rFonts w:hint="default" w:ascii="Menlo" w:hAnsi="Menlo" w:eastAsia="Menlo" w:cs="Menlo"/>
      <w:sz w:val="21"/>
      <w:szCs w:val="21"/>
    </w:rPr>
  </w:style>
  <w:style w:type="table" w:styleId="50">
    <w:name w:val="Table Grid"/>
    <w:basedOn w:val="4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1">
    <w:name w:val="标题 9 Char"/>
    <w:link w:val="10"/>
    <w:uiPriority w:val="0"/>
    <w:rPr>
      <w:rFonts w:ascii="Arial" w:hAnsi="Arial" w:eastAsia="黑体"/>
      <w:kern w:val="2"/>
      <w:sz w:val="21"/>
      <w:szCs w:val="21"/>
    </w:rPr>
  </w:style>
  <w:style w:type="character" w:customStyle="1" w:styleId="52">
    <w:name w:val="style12"/>
    <w:qFormat/>
    <w:uiPriority w:val="0"/>
    <w:rPr>
      <w:rFonts w:hint="default" w:ascii="ˎ̥" w:hAnsi="ˎ̥"/>
      <w:sz w:val="20"/>
      <w:szCs w:val="20"/>
    </w:rPr>
  </w:style>
  <w:style w:type="character" w:customStyle="1" w:styleId="53">
    <w:name w:val="普通文字1 Char1"/>
    <w:uiPriority w:val="0"/>
    <w:rPr>
      <w:rFonts w:ascii="宋体" w:hAnsi="Courier New" w:eastAsia="宋体"/>
      <w:kern w:val="2"/>
      <w:sz w:val="21"/>
      <w:lang w:val="en-US" w:eastAsia="zh-CN" w:bidi="ar-SA"/>
    </w:rPr>
  </w:style>
  <w:style w:type="character" w:customStyle="1" w:styleId="54">
    <w:name w:val="t-exception-class-name"/>
    <w:uiPriority w:val="0"/>
    <w:rPr>
      <w:b/>
      <w:color w:val="0000FF"/>
      <w:sz w:val="24"/>
      <w:szCs w:val="24"/>
      <w:shd w:val="clear" w:color="auto" w:fill="E1E1E1"/>
    </w:rPr>
  </w:style>
  <w:style w:type="character" w:customStyle="1" w:styleId="55">
    <w:name w:val="日期 Char"/>
    <w:link w:val="22"/>
    <w:qFormat/>
    <w:uiPriority w:val="99"/>
    <w:rPr>
      <w:kern w:val="2"/>
      <w:sz w:val="28"/>
    </w:rPr>
  </w:style>
  <w:style w:type="character" w:customStyle="1" w:styleId="56">
    <w:name w:val="hover14"/>
    <w:uiPriority w:val="0"/>
    <w:rPr>
      <w:color w:val="FFFFFF"/>
      <w:shd w:val="clear" w:color="auto" w:fill="00C1B3"/>
    </w:rPr>
  </w:style>
  <w:style w:type="character" w:customStyle="1" w:styleId="57">
    <w:name w:val="t-tree-icon"/>
    <w:qFormat/>
    <w:uiPriority w:val="0"/>
  </w:style>
  <w:style w:type="character" w:customStyle="1" w:styleId="58">
    <w:name w:val="font51"/>
    <w:qFormat/>
    <w:uiPriority w:val="0"/>
    <w:rPr>
      <w:rFonts w:hint="eastAsia" w:ascii="宋体" w:hAnsi="宋体" w:eastAsia="宋体" w:cs="宋体"/>
      <w:color w:val="000000"/>
      <w:sz w:val="24"/>
      <w:szCs w:val="24"/>
      <w:u w:val="none"/>
      <w:vertAlign w:val="superscript"/>
    </w:rPr>
  </w:style>
  <w:style w:type="character" w:customStyle="1" w:styleId="59">
    <w:name w:val="批注文字 Char"/>
    <w:link w:val="12"/>
    <w:qFormat/>
    <w:uiPriority w:val="99"/>
    <w:rPr>
      <w:szCs w:val="24"/>
    </w:rPr>
  </w:style>
  <w:style w:type="character" w:customStyle="1" w:styleId="60">
    <w:name w:val="正文文本缩进 3 Char"/>
    <w:link w:val="31"/>
    <w:uiPriority w:val="0"/>
    <w:rPr>
      <w:rFonts w:ascii="Arial" w:hAnsi="Arial" w:eastAsia="仿宋_GB2312"/>
      <w:b/>
      <w:kern w:val="2"/>
      <w:sz w:val="32"/>
    </w:rPr>
  </w:style>
  <w:style w:type="character" w:customStyle="1" w:styleId="61">
    <w:name w:val="页脚 Char"/>
    <w:link w:val="26"/>
    <w:qFormat/>
    <w:uiPriority w:val="99"/>
    <w:rPr>
      <w:kern w:val="2"/>
      <w:sz w:val="18"/>
    </w:rPr>
  </w:style>
  <w:style w:type="character" w:customStyle="1" w:styleId="62">
    <w:name w:val="正文项目符号 Char"/>
    <w:link w:val="63"/>
    <w:qFormat/>
    <w:uiPriority w:val="0"/>
    <w:rPr>
      <w:sz w:val="24"/>
      <w:szCs w:val="24"/>
    </w:rPr>
  </w:style>
  <w:style w:type="paragraph" w:customStyle="1" w:styleId="63">
    <w:name w:val="正文项目符号"/>
    <w:basedOn w:val="1"/>
    <w:link w:val="62"/>
    <w:qFormat/>
    <w:uiPriority w:val="0"/>
    <w:pPr>
      <w:spacing w:line="360" w:lineRule="auto"/>
      <w:ind w:left="840" w:hanging="420"/>
    </w:pPr>
    <w:rPr>
      <w:kern w:val="0"/>
      <w:sz w:val="24"/>
      <w:szCs w:val="24"/>
    </w:rPr>
  </w:style>
  <w:style w:type="character" w:customStyle="1" w:styleId="64">
    <w:name w:val="标题 2 Char"/>
    <w:link w:val="3"/>
    <w:qFormat/>
    <w:uiPriority w:val="0"/>
    <w:rPr>
      <w:rFonts w:ascii="Arial" w:hAnsi="Arial" w:eastAsia="黑体"/>
      <w:b/>
      <w:bCs/>
      <w:kern w:val="2"/>
      <w:sz w:val="32"/>
      <w:szCs w:val="32"/>
    </w:rPr>
  </w:style>
  <w:style w:type="character" w:customStyle="1" w:styleId="65">
    <w:name w:val="Page Number1"/>
    <w:uiPriority w:val="99"/>
  </w:style>
  <w:style w:type="character" w:customStyle="1" w:styleId="66">
    <w:name w:val="样式 小四"/>
    <w:qFormat/>
    <w:uiPriority w:val="0"/>
    <w:rPr>
      <w:sz w:val="21"/>
    </w:rPr>
  </w:style>
  <w:style w:type="character" w:customStyle="1" w:styleId="67">
    <w:name w:val="t-tree-expanded"/>
    <w:qFormat/>
    <w:uiPriority w:val="0"/>
  </w:style>
  <w:style w:type="character" w:customStyle="1" w:styleId="68">
    <w:name w:val="正文字缩2字 Char Char"/>
    <w:link w:val="69"/>
    <w:qFormat/>
    <w:uiPriority w:val="0"/>
    <w:rPr>
      <w:sz w:val="24"/>
      <w:szCs w:val="24"/>
    </w:rPr>
  </w:style>
  <w:style w:type="paragraph" w:customStyle="1" w:styleId="69">
    <w:name w:val="正文字缩2字"/>
    <w:basedOn w:val="1"/>
    <w:link w:val="68"/>
    <w:uiPriority w:val="0"/>
    <w:pPr>
      <w:spacing w:before="60" w:after="60" w:line="360" w:lineRule="auto"/>
      <w:ind w:left="200" w:leftChars="200" w:firstLine="200" w:firstLineChars="200"/>
    </w:pPr>
    <w:rPr>
      <w:kern w:val="0"/>
      <w:sz w:val="24"/>
      <w:szCs w:val="24"/>
    </w:rPr>
  </w:style>
  <w:style w:type="character" w:customStyle="1" w:styleId="70">
    <w:name w:val="正文文本缩进 2 Char"/>
    <w:link w:val="23"/>
    <w:uiPriority w:val="0"/>
    <w:rPr>
      <w:kern w:val="2"/>
      <w:sz w:val="21"/>
    </w:rPr>
  </w:style>
  <w:style w:type="character" w:customStyle="1" w:styleId="71">
    <w:name w:val="页眉 Char"/>
    <w:link w:val="27"/>
    <w:uiPriority w:val="0"/>
    <w:rPr>
      <w:kern w:val="2"/>
      <w:sz w:val="18"/>
    </w:rPr>
  </w:style>
  <w:style w:type="character" w:customStyle="1" w:styleId="72">
    <w:name w:val="批注引用1"/>
    <w:uiPriority w:val="0"/>
    <w:rPr>
      <w:sz w:val="21"/>
      <w:szCs w:val="21"/>
    </w:rPr>
  </w:style>
  <w:style w:type="character" w:customStyle="1" w:styleId="73">
    <w:name w:val="标题 Char"/>
    <w:link w:val="37"/>
    <w:uiPriority w:val="0"/>
    <w:rPr>
      <w:kern w:val="2"/>
      <w:sz w:val="32"/>
      <w:szCs w:val="24"/>
    </w:rPr>
  </w:style>
  <w:style w:type="character" w:customStyle="1" w:styleId="74">
    <w:name w:val="批注框文本 Char"/>
    <w:link w:val="25"/>
    <w:uiPriority w:val="0"/>
    <w:rPr>
      <w:kern w:val="2"/>
      <w:sz w:val="18"/>
      <w:szCs w:val="18"/>
    </w:rPr>
  </w:style>
  <w:style w:type="character" w:customStyle="1" w:styleId="75">
    <w:name w:val="我的正文 Char"/>
    <w:link w:val="76"/>
    <w:locked/>
    <w:uiPriority w:val="0"/>
    <w:rPr>
      <w:rFonts w:eastAsia="仿宋_GB2312" w:cs="宋体"/>
      <w:sz w:val="24"/>
    </w:rPr>
  </w:style>
  <w:style w:type="paragraph" w:customStyle="1" w:styleId="76">
    <w:name w:val="我的正文"/>
    <w:basedOn w:val="1"/>
    <w:link w:val="75"/>
    <w:uiPriority w:val="0"/>
    <w:pPr>
      <w:spacing w:line="360" w:lineRule="auto"/>
      <w:ind w:firstLine="480" w:firstLineChars="200"/>
    </w:pPr>
    <w:rPr>
      <w:rFonts w:eastAsia="仿宋_GB2312"/>
      <w:kern w:val="0"/>
      <w:sz w:val="24"/>
    </w:rPr>
  </w:style>
  <w:style w:type="character" w:customStyle="1" w:styleId="77">
    <w:name w:val="font31"/>
    <w:qFormat/>
    <w:uiPriority w:val="0"/>
    <w:rPr>
      <w:rFonts w:hint="eastAsia" w:ascii="宋体" w:hAnsi="宋体" w:eastAsia="宋体" w:cs="宋体"/>
      <w:color w:val="000000"/>
      <w:sz w:val="24"/>
      <w:szCs w:val="24"/>
      <w:u w:val="none"/>
    </w:rPr>
  </w:style>
  <w:style w:type="character" w:customStyle="1" w:styleId="78">
    <w:name w:val="正文文本 Char"/>
    <w:link w:val="16"/>
    <w:qFormat/>
    <w:uiPriority w:val="0"/>
    <w:rPr>
      <w:szCs w:val="24"/>
    </w:rPr>
  </w:style>
  <w:style w:type="character" w:customStyle="1" w:styleId="79">
    <w:name w:val="t-ajax-wait"/>
    <w:uiPriority w:val="0"/>
  </w:style>
  <w:style w:type="character" w:customStyle="1" w:styleId="80">
    <w:name w:val="apple-converted-space"/>
    <w:uiPriority w:val="0"/>
  </w:style>
  <w:style w:type="character" w:customStyle="1" w:styleId="81">
    <w:name w:val="标题 1 Char"/>
    <w:link w:val="2"/>
    <w:uiPriority w:val="0"/>
    <w:rPr>
      <w:b/>
      <w:kern w:val="44"/>
      <w:sz w:val="44"/>
    </w:rPr>
  </w:style>
  <w:style w:type="character" w:customStyle="1" w:styleId="82">
    <w:name w:val="Plain Text Char"/>
    <w:uiPriority w:val="0"/>
    <w:rPr>
      <w:rFonts w:ascii="宋体" w:hAnsi="Courier New" w:cs="Courier New"/>
      <w:szCs w:val="21"/>
    </w:rPr>
  </w:style>
  <w:style w:type="character" w:customStyle="1" w:styleId="83">
    <w:name w:val="页码1"/>
    <w:uiPriority w:val="0"/>
  </w:style>
  <w:style w:type="character" w:customStyle="1" w:styleId="84">
    <w:name w:val="标题 5 Char"/>
    <w:link w:val="6"/>
    <w:uiPriority w:val="0"/>
    <w:rPr>
      <w:b/>
      <w:bCs/>
      <w:sz w:val="28"/>
      <w:szCs w:val="28"/>
    </w:rPr>
  </w:style>
  <w:style w:type="character" w:customStyle="1" w:styleId="85">
    <w:name w:val="纯文本 Char1"/>
    <w:uiPriority w:val="0"/>
    <w:rPr>
      <w:rFonts w:ascii="宋体" w:hAnsi="Courier New" w:cs="Courier New"/>
      <w:kern w:val="2"/>
      <w:sz w:val="21"/>
      <w:szCs w:val="21"/>
    </w:rPr>
  </w:style>
  <w:style w:type="character" w:customStyle="1" w:styleId="86">
    <w:name w:val="表格1 Char"/>
    <w:link w:val="87"/>
    <w:uiPriority w:val="0"/>
    <w:rPr>
      <w:rFonts w:ascii="宋体" w:hAnsi="宋体"/>
      <w:sz w:val="21"/>
      <w:szCs w:val="21"/>
      <w:lang w:eastAsia="en-US" w:bidi="en-US"/>
    </w:rPr>
  </w:style>
  <w:style w:type="paragraph" w:customStyle="1" w:styleId="87">
    <w:name w:val="表格1"/>
    <w:basedOn w:val="1"/>
    <w:link w:val="86"/>
    <w:qFormat/>
    <w:uiPriority w:val="0"/>
    <w:pPr>
      <w:widowControl/>
      <w:snapToGrid w:val="0"/>
      <w:jc w:val="left"/>
    </w:pPr>
    <w:rPr>
      <w:rFonts w:ascii="宋体" w:hAnsi="宋体"/>
      <w:kern w:val="0"/>
      <w:szCs w:val="21"/>
      <w:lang w:eastAsia="en-US" w:bidi="en-US"/>
    </w:rPr>
  </w:style>
  <w:style w:type="character" w:customStyle="1" w:styleId="88">
    <w:name w:val="hover13"/>
    <w:uiPriority w:val="0"/>
    <w:rPr>
      <w:sz w:val="21"/>
      <w:szCs w:val="21"/>
    </w:rPr>
  </w:style>
  <w:style w:type="character" w:customStyle="1" w:styleId="89">
    <w:name w:val="hover12"/>
    <w:uiPriority w:val="0"/>
    <w:rPr>
      <w:color w:val="FFFFFF"/>
      <w:shd w:val="clear" w:color="auto" w:fill="00C1B3"/>
    </w:rPr>
  </w:style>
  <w:style w:type="character" w:customStyle="1" w:styleId="90">
    <w:name w:val="current"/>
    <w:uiPriority w:val="0"/>
    <w:rPr>
      <w:color w:val="FFFFFF"/>
      <w:sz w:val="27"/>
      <w:szCs w:val="27"/>
      <w:u w:val="none"/>
      <w:bdr w:val="single" w:color="C0C0C0" w:sz="6" w:space="0"/>
      <w:shd w:val="clear" w:color="auto" w:fill="809FFF"/>
    </w:rPr>
  </w:style>
  <w:style w:type="character" w:customStyle="1" w:styleId="91">
    <w:name w:val="font61"/>
    <w:qFormat/>
    <w:uiPriority w:val="0"/>
    <w:rPr>
      <w:rFonts w:hint="eastAsia" w:ascii="宋体" w:hAnsi="宋体" w:eastAsia="宋体" w:cs="宋体"/>
      <w:color w:val="000000"/>
      <w:sz w:val="22"/>
      <w:szCs w:val="22"/>
      <w:u w:val="none"/>
    </w:rPr>
  </w:style>
  <w:style w:type="character" w:customStyle="1" w:styleId="92">
    <w:name w:val="标题 6 Char"/>
    <w:link w:val="7"/>
    <w:uiPriority w:val="0"/>
    <w:rPr>
      <w:rFonts w:ascii="Calibri Light" w:hAnsi="Calibri Light"/>
      <w:b/>
      <w:bCs/>
      <w:kern w:val="2"/>
      <w:sz w:val="24"/>
      <w:szCs w:val="24"/>
    </w:rPr>
  </w:style>
  <w:style w:type="character" w:customStyle="1" w:styleId="93">
    <w:name w:val="标题 4 Char"/>
    <w:link w:val="5"/>
    <w:uiPriority w:val="0"/>
    <w:rPr>
      <w:rFonts w:ascii="Arial" w:hAnsi="Arial" w:eastAsia="黑体"/>
      <w:b/>
      <w:bCs/>
      <w:kern w:val="2"/>
      <w:sz w:val="28"/>
      <w:szCs w:val="28"/>
    </w:rPr>
  </w:style>
  <w:style w:type="character" w:customStyle="1" w:styleId="94">
    <w:name w:val="纯文本 Char"/>
    <w:link w:val="20"/>
    <w:uiPriority w:val="0"/>
    <w:rPr>
      <w:rFonts w:ascii="宋体" w:hAnsi="Courier New"/>
      <w:kern w:val="2"/>
      <w:sz w:val="21"/>
    </w:rPr>
  </w:style>
  <w:style w:type="character" w:customStyle="1" w:styleId="95">
    <w:name w:val="t-render-object-error"/>
    <w:uiPriority w:val="0"/>
    <w:rPr>
      <w:b/>
      <w:i/>
      <w:color w:val="FF0000"/>
    </w:rPr>
  </w:style>
  <w:style w:type="character" w:customStyle="1" w:styleId="96">
    <w:name w:val="font01"/>
    <w:qFormat/>
    <w:uiPriority w:val="0"/>
    <w:rPr>
      <w:rFonts w:ascii="font-weight : 400" w:hAnsi="font-weight : 400" w:eastAsia="font-weight : 400" w:cs="font-weight : 400"/>
      <w:color w:val="000000"/>
      <w:sz w:val="22"/>
      <w:szCs w:val="22"/>
      <w:u w:val="none"/>
    </w:rPr>
  </w:style>
  <w:style w:type="character" w:customStyle="1" w:styleId="97">
    <w:name w:val="标题 8 Char"/>
    <w:link w:val="9"/>
    <w:uiPriority w:val="0"/>
    <w:rPr>
      <w:rFonts w:ascii="Arial" w:hAnsi="Arial" w:eastAsia="黑体"/>
      <w:kern w:val="2"/>
      <w:sz w:val="24"/>
      <w:szCs w:val="24"/>
    </w:rPr>
  </w:style>
  <w:style w:type="character" w:customStyle="1" w:styleId="98">
    <w:name w:val="C503-正文格式 Char"/>
    <w:link w:val="99"/>
    <w:uiPriority w:val="0"/>
    <w:rPr>
      <w:sz w:val="24"/>
    </w:rPr>
  </w:style>
  <w:style w:type="paragraph" w:customStyle="1" w:styleId="99">
    <w:name w:val="C503-正文格式"/>
    <w:basedOn w:val="1"/>
    <w:link w:val="98"/>
    <w:uiPriority w:val="0"/>
    <w:pPr>
      <w:spacing w:line="360" w:lineRule="auto"/>
      <w:ind w:firstLine="480" w:firstLineChars="200"/>
    </w:pPr>
    <w:rPr>
      <w:kern w:val="0"/>
      <w:sz w:val="24"/>
    </w:rPr>
  </w:style>
  <w:style w:type="character" w:customStyle="1" w:styleId="100">
    <w:name w:val="列出段落 Char"/>
    <w:link w:val="101"/>
    <w:uiPriority w:val="34"/>
    <w:rPr>
      <w:rFonts w:ascii="Calibri" w:hAnsi="Calibri"/>
      <w:kern w:val="2"/>
      <w:sz w:val="21"/>
      <w:szCs w:val="22"/>
    </w:rPr>
  </w:style>
  <w:style w:type="paragraph" w:styleId="101">
    <w:name w:val="List Paragraph"/>
    <w:basedOn w:val="1"/>
    <w:link w:val="100"/>
    <w:qFormat/>
    <w:uiPriority w:val="34"/>
    <w:pPr>
      <w:ind w:firstLine="420" w:firstLineChars="200"/>
    </w:pPr>
    <w:rPr>
      <w:szCs w:val="22"/>
    </w:rPr>
  </w:style>
  <w:style w:type="character" w:customStyle="1" w:styleId="102">
    <w:name w:val="批注主题 Char1"/>
    <w:uiPriority w:val="99"/>
    <w:rPr>
      <w:b/>
      <w:bCs/>
      <w:kern w:val="2"/>
      <w:sz w:val="21"/>
    </w:rPr>
  </w:style>
  <w:style w:type="character" w:customStyle="1" w:styleId="103">
    <w:name w:val="列出段落1 Char"/>
    <w:link w:val="104"/>
    <w:uiPriority w:val="0"/>
    <w:rPr>
      <w:kern w:val="2"/>
      <w:sz w:val="21"/>
      <w:szCs w:val="24"/>
    </w:rPr>
  </w:style>
  <w:style w:type="paragraph" w:customStyle="1" w:styleId="104">
    <w:name w:val="列出段落11"/>
    <w:basedOn w:val="1"/>
    <w:link w:val="103"/>
    <w:qFormat/>
    <w:uiPriority w:val="0"/>
    <w:pPr>
      <w:ind w:firstLine="420" w:firstLineChars="200"/>
    </w:pPr>
    <w:rPr>
      <w:szCs w:val="24"/>
    </w:rPr>
  </w:style>
  <w:style w:type="character" w:customStyle="1" w:styleId="105">
    <w:name w:val="正文文本 Char1"/>
    <w:uiPriority w:val="99"/>
    <w:rPr>
      <w:kern w:val="2"/>
      <w:sz w:val="21"/>
    </w:rPr>
  </w:style>
  <w:style w:type="character" w:customStyle="1" w:styleId="106">
    <w:name w:val="标题 7 Char"/>
    <w:link w:val="8"/>
    <w:uiPriority w:val="0"/>
    <w:rPr>
      <w:b/>
      <w:bCs/>
      <w:kern w:val="2"/>
      <w:sz w:val="24"/>
      <w:szCs w:val="24"/>
    </w:rPr>
  </w:style>
  <w:style w:type="character" w:customStyle="1" w:styleId="107">
    <w:name w:val="合同标题 Char1"/>
    <w:uiPriority w:val="0"/>
    <w:rPr>
      <w:rFonts w:ascii="宋体" w:eastAsia="宋体"/>
      <w:b/>
      <w:kern w:val="44"/>
      <w:sz w:val="32"/>
      <w:lang w:val="en-US" w:eastAsia="zh-CN" w:bidi="ar-SA"/>
    </w:rPr>
  </w:style>
  <w:style w:type="character" w:customStyle="1" w:styleId="108">
    <w:name w:val="t-exception-stack-controls"/>
    <w:uiPriority w:val="0"/>
  </w:style>
  <w:style w:type="character" w:customStyle="1" w:styleId="109">
    <w:name w:val="批注主题 Char"/>
    <w:link w:val="11"/>
    <w:uiPriority w:val="0"/>
    <w:rPr>
      <w:b/>
      <w:bCs/>
      <w:szCs w:val="24"/>
    </w:rPr>
  </w:style>
  <w:style w:type="character" w:customStyle="1" w:styleId="110">
    <w:name w:val="文档结构图 Char"/>
    <w:link w:val="15"/>
    <w:uiPriority w:val="0"/>
    <w:rPr>
      <w:kern w:val="2"/>
      <w:sz w:val="21"/>
      <w:shd w:val="clear" w:color="auto" w:fill="000080"/>
    </w:rPr>
  </w:style>
  <w:style w:type="character" w:customStyle="1" w:styleId="111">
    <w:name w:val="Header Char"/>
    <w:uiPriority w:val="0"/>
    <w:rPr>
      <w:sz w:val="18"/>
      <w:szCs w:val="18"/>
    </w:rPr>
  </w:style>
  <w:style w:type="character" w:customStyle="1" w:styleId="112">
    <w:name w:val="正文文本缩进 Char"/>
    <w:link w:val="17"/>
    <w:qFormat/>
    <w:uiPriority w:val="0"/>
    <w:rPr>
      <w:kern w:val="2"/>
      <w:sz w:val="28"/>
    </w:rPr>
  </w:style>
  <w:style w:type="character" w:customStyle="1" w:styleId="113">
    <w:name w:val="标准正文 Char"/>
    <w:link w:val="114"/>
    <w:locked/>
    <w:uiPriority w:val="0"/>
    <w:rPr>
      <w:rFonts w:ascii="宋体" w:hAnsi="宋体"/>
      <w:spacing w:val="-4"/>
      <w:kern w:val="21"/>
      <w:sz w:val="24"/>
      <w:szCs w:val="24"/>
    </w:rPr>
  </w:style>
  <w:style w:type="paragraph" w:customStyle="1" w:styleId="114">
    <w:name w:val="标准正文"/>
    <w:basedOn w:val="1"/>
    <w:link w:val="113"/>
    <w:uiPriority w:val="0"/>
    <w:pPr>
      <w:adjustRightInd w:val="0"/>
      <w:spacing w:line="360" w:lineRule="atLeast"/>
      <w:ind w:firstLine="425"/>
      <w:jc w:val="left"/>
      <w:textAlignment w:val="baseline"/>
    </w:pPr>
    <w:rPr>
      <w:rFonts w:ascii="宋体" w:hAnsi="宋体"/>
      <w:spacing w:val="-4"/>
      <w:kern w:val="21"/>
      <w:sz w:val="24"/>
      <w:szCs w:val="24"/>
    </w:rPr>
  </w:style>
  <w:style w:type="character" w:customStyle="1" w:styleId="115">
    <w:name w:val="font41"/>
    <w:qFormat/>
    <w:uiPriority w:val="0"/>
    <w:rPr>
      <w:rFonts w:hint="eastAsia" w:ascii="宋体" w:hAnsi="宋体" w:eastAsia="宋体" w:cs="宋体"/>
      <w:color w:val="000000"/>
      <w:sz w:val="16"/>
      <w:szCs w:val="16"/>
      <w:u w:val="none"/>
    </w:rPr>
  </w:style>
  <w:style w:type="character" w:customStyle="1" w:styleId="116">
    <w:name w:val="样式1 Char"/>
    <w:uiPriority w:val="0"/>
    <w:rPr>
      <w:rFonts w:ascii="宋体" w:hAnsi="宋体" w:eastAsia="宋体"/>
      <w:sz w:val="21"/>
      <w:szCs w:val="21"/>
      <w:lang w:val="en-US" w:eastAsia="zh-CN" w:bidi="ar-SA"/>
    </w:rPr>
  </w:style>
  <w:style w:type="character" w:customStyle="1" w:styleId="117">
    <w:name w:val="footerlink"/>
    <w:qFormat/>
    <w:uiPriority w:val="0"/>
    <w:rPr>
      <w:rFonts w:eastAsia="仿宋_GB2312"/>
      <w:sz w:val="24"/>
      <w:szCs w:val="24"/>
    </w:rPr>
  </w:style>
  <w:style w:type="character" w:customStyle="1" w:styleId="118">
    <w:name w:val="尾注文本 Char"/>
    <w:link w:val="24"/>
    <w:uiPriority w:val="0"/>
    <w:rPr>
      <w:kern w:val="2"/>
      <w:sz w:val="21"/>
      <w:szCs w:val="24"/>
    </w:rPr>
  </w:style>
  <w:style w:type="character" w:customStyle="1" w:styleId="119">
    <w:name w:val="hover15"/>
    <w:uiPriority w:val="0"/>
    <w:rPr>
      <w:color w:val="FFFFFF"/>
      <w:shd w:val="clear" w:color="auto" w:fill="00C1B3"/>
    </w:rPr>
  </w:style>
  <w:style w:type="character" w:customStyle="1" w:styleId="120">
    <w:name w:val="HTML 预设格式 Char"/>
    <w:link w:val="34"/>
    <w:uiPriority w:val="99"/>
    <w:rPr>
      <w:rFonts w:ascii="宋体" w:hAnsi="宋体" w:cs="宋体"/>
      <w:sz w:val="24"/>
      <w:szCs w:val="24"/>
    </w:rPr>
  </w:style>
  <w:style w:type="character" w:customStyle="1" w:styleId="121">
    <w:name w:val="标题 3 Char"/>
    <w:link w:val="4"/>
    <w:uiPriority w:val="0"/>
    <w:rPr>
      <w:b/>
      <w:bCs/>
      <w:kern w:val="2"/>
      <w:sz w:val="32"/>
      <w:szCs w:val="32"/>
    </w:rPr>
  </w:style>
  <w:style w:type="character" w:customStyle="1" w:styleId="122">
    <w:name w:val="批注文字 Char1"/>
    <w:uiPriority w:val="99"/>
    <w:rPr>
      <w:kern w:val="2"/>
      <w:sz w:val="21"/>
    </w:rPr>
  </w:style>
  <w:style w:type="character" w:customStyle="1" w:styleId="123">
    <w:name w:val="font71"/>
    <w:qFormat/>
    <w:uiPriority w:val="0"/>
    <w:rPr>
      <w:rFonts w:hint="eastAsia" w:ascii="宋体" w:hAnsi="宋体" w:eastAsia="宋体" w:cs="宋体"/>
      <w:color w:val="000000"/>
      <w:sz w:val="16"/>
      <w:szCs w:val="16"/>
      <w:u w:val="none"/>
    </w:rPr>
  </w:style>
  <w:style w:type="character" w:customStyle="1" w:styleId="124">
    <w:name w:val="kadertje1"/>
    <w:uiPriority w:val="0"/>
    <w:rPr>
      <w:rFonts w:hint="default" w:ascii="Lucida Sans" w:hAnsi="Lucida Sans"/>
      <w:sz w:val="15"/>
      <w:szCs w:val="15"/>
    </w:rPr>
  </w:style>
  <w:style w:type="paragraph" w:customStyle="1" w:styleId="125">
    <w:name w:val="样式 样式 标题 2 + 宋体 五号 非加粗 黑色 + 段前: 6 磅 段后: 0 磅 行距: 单倍行距"/>
    <w:basedOn w:val="126"/>
    <w:uiPriority w:val="0"/>
    <w:pPr>
      <w:spacing w:line="240" w:lineRule="auto"/>
    </w:pPr>
    <w:rPr>
      <w:rFonts w:cs="宋体"/>
      <w:szCs w:val="20"/>
    </w:rPr>
  </w:style>
  <w:style w:type="paragraph" w:customStyle="1" w:styleId="126">
    <w:name w:val="样式 标题 2 + 宋体 五号 非加粗 黑色"/>
    <w:basedOn w:val="3"/>
    <w:uiPriority w:val="0"/>
    <w:pPr>
      <w:autoSpaceDE w:val="0"/>
      <w:autoSpaceDN w:val="0"/>
      <w:adjustRightInd w:val="0"/>
      <w:spacing w:before="120" w:after="0" w:line="300" w:lineRule="auto"/>
      <w:jc w:val="center"/>
    </w:pPr>
    <w:rPr>
      <w:rFonts w:ascii="宋体" w:hAnsi="宋体" w:eastAsia="宋体"/>
      <w:b w:val="0"/>
      <w:bCs w:val="0"/>
      <w:color w:val="000000"/>
      <w:kern w:val="0"/>
      <w:sz w:val="21"/>
    </w:rPr>
  </w:style>
  <w:style w:type="paragraph" w:customStyle="1" w:styleId="127">
    <w:name w:val="样式 小四 首行缩进:  0.85 厘米 右侧:  0.03 厘米 行距: 1.5 倍行距"/>
    <w:basedOn w:val="1"/>
    <w:uiPriority w:val="0"/>
    <w:pPr>
      <w:spacing w:line="360" w:lineRule="auto"/>
      <w:ind w:right="17" w:firstLine="482"/>
    </w:pPr>
    <w:rPr>
      <w:rFonts w:cs="宋体"/>
      <w:sz w:val="24"/>
    </w:rPr>
  </w:style>
  <w:style w:type="paragraph" w:customStyle="1" w:styleId="128">
    <w:name w:val="PMstyle"/>
    <w:uiPriority w:val="0"/>
    <w:rPr>
      <w:rFonts w:ascii="Tahoma" w:hAnsi="Tahoma" w:eastAsia="宋体" w:cs="Times New Roman"/>
      <w:sz w:val="22"/>
      <w:lang w:val="en-US" w:eastAsia="zh-CN" w:bidi="ar-SA"/>
    </w:rPr>
  </w:style>
  <w:style w:type="paragraph" w:customStyle="1" w:styleId="129">
    <w:name w:val="二级条标题"/>
    <w:basedOn w:val="130"/>
    <w:next w:val="131"/>
    <w:uiPriority w:val="0"/>
    <w:pPr>
      <w:numPr>
        <w:ilvl w:val="3"/>
      </w:numPr>
      <w:ind w:left="0"/>
      <w:outlineLvl w:val="3"/>
    </w:pPr>
  </w:style>
  <w:style w:type="paragraph" w:customStyle="1" w:styleId="130">
    <w:name w:val="一级条标题"/>
    <w:next w:val="131"/>
    <w:uiPriority w:val="0"/>
    <w:pPr>
      <w:numPr>
        <w:ilvl w:val="2"/>
        <w:numId w:val="1"/>
      </w:numPr>
      <w:outlineLvl w:val="2"/>
    </w:pPr>
    <w:rPr>
      <w:rFonts w:ascii="Calibri" w:hAnsi="Calibri" w:eastAsia="黑体" w:cs="Times New Roman"/>
      <w:sz w:val="21"/>
      <w:lang w:val="en-US" w:eastAsia="zh-CN" w:bidi="ar-SA"/>
    </w:rPr>
  </w:style>
  <w:style w:type="paragraph" w:customStyle="1" w:styleId="131">
    <w:name w:val="段"/>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2">
    <w:name w:val="样式2"/>
    <w:basedOn w:val="1"/>
    <w:uiPriority w:val="0"/>
    <w:pPr>
      <w:numPr>
        <w:ilvl w:val="1"/>
        <w:numId w:val="2"/>
      </w:numPr>
      <w:adjustRightInd w:val="0"/>
      <w:textAlignment w:val="baseline"/>
    </w:pPr>
    <w:rPr>
      <w:rFonts w:ascii="宋体" w:hAnsi="宋体"/>
      <w:kern w:val="0"/>
      <w:szCs w:val="21"/>
    </w:rPr>
  </w:style>
  <w:style w:type="paragraph" w:customStyle="1" w:styleId="133">
    <w:name w:val="样式 标题 4 + 段前: 5 磅 段后: 5 磅 行距: 单倍行距"/>
    <w:basedOn w:val="5"/>
    <w:uiPriority w:val="0"/>
    <w:pPr>
      <w:numPr>
        <w:ilvl w:val="3"/>
        <w:numId w:val="3"/>
      </w:numPr>
      <w:tabs>
        <w:tab w:val="left" w:pos="1200"/>
      </w:tabs>
      <w:adjustRightInd w:val="0"/>
      <w:spacing w:before="100" w:after="100" w:line="240" w:lineRule="auto"/>
      <w:jc w:val="left"/>
      <w:textAlignment w:val="baseline"/>
    </w:pPr>
    <w:rPr>
      <w:kern w:val="0"/>
      <w:szCs w:val="20"/>
    </w:rPr>
  </w:style>
  <w:style w:type="paragraph" w:customStyle="1" w:styleId="134">
    <w:name w:val="列出段落1"/>
    <w:basedOn w:val="1"/>
    <w:qFormat/>
    <w:uiPriority w:val="0"/>
    <w:pPr>
      <w:ind w:firstLine="420" w:firstLineChars="200"/>
    </w:pPr>
    <w:rPr>
      <w:szCs w:val="22"/>
    </w:rPr>
  </w:style>
  <w:style w:type="paragraph" w:customStyle="1" w:styleId="135">
    <w:name w:val="Body Text 21"/>
    <w:basedOn w:val="1"/>
    <w:uiPriority w:val="0"/>
    <w:pPr>
      <w:adjustRightInd w:val="0"/>
      <w:spacing w:before="240" w:line="400" w:lineRule="exact"/>
      <w:ind w:firstLine="357"/>
      <w:textAlignment w:val="baseline"/>
    </w:pPr>
    <w:rPr>
      <w:sz w:val="28"/>
    </w:rPr>
  </w:style>
  <w:style w:type="paragraph" w:customStyle="1" w:styleId="136">
    <w:name w:val="TOC Heading"/>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37">
    <w:name w:val="样式 样式 样式 标题 2 + 宋体 五号 非加粗 黑色 + 段前: 6 磅 段后: 0 磅 行距: 单倍行距 + 段前: 12..."/>
    <w:basedOn w:val="125"/>
    <w:uiPriority w:val="0"/>
    <w:pPr>
      <w:spacing w:before="240"/>
    </w:pPr>
  </w:style>
  <w:style w:type="paragraph" w:customStyle="1" w:styleId="138">
    <w:name w:val="样式 宋体 五号 两端对齐 行距: 单倍行距"/>
    <w:basedOn w:val="1"/>
    <w:uiPriority w:val="0"/>
    <w:pPr>
      <w:adjustRightInd w:val="0"/>
      <w:textAlignment w:val="baseline"/>
    </w:pPr>
    <w:rPr>
      <w:rFonts w:ascii="宋体" w:hAnsi="宋体"/>
      <w:kern w:val="0"/>
    </w:rPr>
  </w:style>
  <w:style w:type="paragraph" w:customStyle="1" w:styleId="139">
    <w:name w:val="三级条标题"/>
    <w:basedOn w:val="129"/>
    <w:next w:val="131"/>
    <w:uiPriority w:val="0"/>
    <w:pPr>
      <w:numPr>
        <w:ilvl w:val="4"/>
      </w:numPr>
      <w:outlineLvl w:val="4"/>
    </w:pPr>
  </w:style>
  <w:style w:type="paragraph" w:customStyle="1" w:styleId="140">
    <w:name w:val="p15"/>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样式 样式 标题 4 + 段前: 5 磅 段后: 5 磅 行距: 单倍行距 + 五号"/>
    <w:basedOn w:val="133"/>
    <w:uiPriority w:val="0"/>
    <w:rPr>
      <w:sz w:val="21"/>
    </w:rPr>
  </w:style>
  <w:style w:type="paragraph" w:customStyle="1" w:styleId="142">
    <w:name w:val="样式1"/>
    <w:basedOn w:val="1"/>
    <w:uiPriority w:val="0"/>
    <w:pPr>
      <w:numPr>
        <w:ilvl w:val="0"/>
        <w:numId w:val="4"/>
      </w:numPr>
      <w:tabs>
        <w:tab w:val="left" w:pos="709"/>
      </w:tabs>
      <w:adjustRightInd w:val="0"/>
      <w:textAlignment w:val="baseline"/>
    </w:pPr>
    <w:rPr>
      <w:rFonts w:ascii="宋体" w:hAnsi="宋体"/>
      <w:kern w:val="0"/>
      <w:szCs w:val="21"/>
    </w:rPr>
  </w:style>
  <w:style w:type="paragraph" w:customStyle="1" w:styleId="143">
    <w:name w:val="修订1"/>
    <w:unhideWhenUsed/>
    <w:uiPriority w:val="99"/>
    <w:rPr>
      <w:rFonts w:ascii="Calibri" w:hAnsi="Calibri" w:eastAsia="宋体" w:cs="Times New Roman"/>
      <w:sz w:val="24"/>
      <w:lang w:val="en-US" w:eastAsia="zh-CN" w:bidi="ar-SA"/>
    </w:rPr>
  </w:style>
  <w:style w:type="paragraph" w:customStyle="1" w:styleId="144">
    <w:name w:val="PMtextBullet"/>
    <w:basedOn w:val="128"/>
    <w:uiPriority w:val="0"/>
    <w:pPr>
      <w:tabs>
        <w:tab w:val="left" w:pos="2520"/>
      </w:tabs>
      <w:spacing w:after="200"/>
      <w:ind w:left="2520" w:firstLine="288"/>
    </w:pPr>
  </w:style>
  <w:style w:type="paragraph" w:customStyle="1" w:styleId="145">
    <w:name w:val="五级条标题"/>
    <w:basedOn w:val="146"/>
    <w:next w:val="131"/>
    <w:uiPriority w:val="0"/>
    <w:pPr>
      <w:numPr>
        <w:ilvl w:val="6"/>
      </w:numPr>
      <w:outlineLvl w:val="6"/>
    </w:pPr>
  </w:style>
  <w:style w:type="paragraph" w:customStyle="1" w:styleId="146">
    <w:name w:val="四级条标题"/>
    <w:basedOn w:val="139"/>
    <w:next w:val="131"/>
    <w:uiPriority w:val="0"/>
    <w:pPr>
      <w:numPr>
        <w:ilvl w:val="5"/>
      </w:numPr>
      <w:outlineLvl w:val="5"/>
    </w:pPr>
  </w:style>
  <w:style w:type="paragraph" w:customStyle="1" w:styleId="147">
    <w:name w:val="样式 宋体 小四 行距: 1.5 倍行距 首行缩进:  2 字符"/>
    <w:basedOn w:val="1"/>
    <w:uiPriority w:val="0"/>
    <w:pPr>
      <w:spacing w:line="360" w:lineRule="auto"/>
      <w:ind w:firstLine="480" w:firstLineChars="200"/>
    </w:pPr>
    <w:rPr>
      <w:rFonts w:ascii="宋体" w:hAnsi="宋体" w:cs="宋体"/>
      <w:sz w:val="24"/>
    </w:rPr>
  </w:style>
  <w:style w:type="paragraph" w:customStyle="1" w:styleId="148">
    <w:name w:val="样式 标题 3h3H3sect1.2.3 + 五号 段前: 6 磅 段后: 6 磅 行距: 单倍行距"/>
    <w:basedOn w:val="4"/>
    <w:uiPriority w:val="0"/>
    <w:pPr>
      <w:numPr>
        <w:ilvl w:val="2"/>
        <w:numId w:val="3"/>
      </w:numPr>
      <w:tabs>
        <w:tab w:val="left" w:pos="1200"/>
      </w:tabs>
      <w:adjustRightInd w:val="0"/>
      <w:spacing w:before="120" w:after="120" w:line="240" w:lineRule="auto"/>
      <w:jc w:val="left"/>
      <w:textAlignment w:val="baseline"/>
    </w:pPr>
    <w:rPr>
      <w:kern w:val="0"/>
      <w:sz w:val="21"/>
      <w:szCs w:val="20"/>
    </w:rPr>
  </w:style>
  <w:style w:type="paragraph" w:customStyle="1" w:styleId="149">
    <w:name w:val="样式 样式 标题 5 + 段前: 5 磅 段后: 5 磅 行距: 单倍行距 + 五号"/>
    <w:basedOn w:val="150"/>
    <w:uiPriority w:val="0"/>
    <w:pPr>
      <w:tabs>
        <w:tab w:val="left" w:pos="2100"/>
      </w:tabs>
    </w:pPr>
    <w:rPr>
      <w:sz w:val="21"/>
    </w:rPr>
  </w:style>
  <w:style w:type="paragraph" w:customStyle="1" w:styleId="150">
    <w:name w:val="样式 标题 5 + 段前: 5 磅 段后: 5 磅 行距: 单倍行距"/>
    <w:basedOn w:val="6"/>
    <w:uiPriority w:val="0"/>
    <w:pPr>
      <w:tabs>
        <w:tab w:val="left" w:pos="2100"/>
      </w:tabs>
      <w:spacing w:before="100" w:after="100" w:line="240" w:lineRule="auto"/>
      <w:ind w:left="2100" w:hanging="420"/>
    </w:pPr>
    <w:rPr>
      <w:szCs w:val="20"/>
    </w:rPr>
  </w:style>
  <w:style w:type="paragraph" w:customStyle="1" w:styleId="151">
    <w:name w:val="样式 标题 1 + 四号 居中 段前: 12 磅 段后: 12 磅 行距: 单倍行距"/>
    <w:basedOn w:val="2"/>
    <w:uiPriority w:val="0"/>
    <w:pPr>
      <w:adjustRightInd w:val="0"/>
      <w:spacing w:before="240" w:after="240" w:line="240" w:lineRule="auto"/>
      <w:ind w:firstLine="288"/>
      <w:textAlignment w:val="baseline"/>
    </w:pPr>
    <w:rPr>
      <w:bCs/>
      <w:sz w:val="28"/>
    </w:rPr>
  </w:style>
  <w:style w:type="paragraph" w:customStyle="1" w:styleId="152">
    <w:name w:val="样式 样式 小四 右侧:  0.03 厘米 行距: 1.5 倍行距 + 首行缩进:  2 字符"/>
    <w:basedOn w:val="1"/>
    <w:uiPriority w:val="0"/>
    <w:pPr>
      <w:spacing w:line="360" w:lineRule="auto"/>
      <w:ind w:right="17" w:firstLine="420" w:firstLineChars="200"/>
    </w:pPr>
    <w:rPr>
      <w:rFonts w:cs="宋体"/>
      <w:sz w:val="24"/>
    </w:rPr>
  </w:style>
  <w:style w:type="paragraph" w:customStyle="1" w:styleId="153">
    <w:name w:val="章标题"/>
    <w:next w:val="131"/>
    <w:uiPriority w:val="0"/>
    <w:pPr>
      <w:numPr>
        <w:ilvl w:val="1"/>
        <w:numId w:val="1"/>
      </w:numPr>
      <w:spacing w:beforeLines="50" w:afterLines="50"/>
      <w:jc w:val="both"/>
      <w:outlineLvl w:val="1"/>
    </w:pPr>
    <w:rPr>
      <w:rFonts w:ascii="黑体" w:hAnsi="Calibri" w:eastAsia="黑体" w:cs="Times New Roman"/>
      <w:sz w:val="21"/>
      <w:lang w:val="en-US" w:eastAsia="zh-CN" w:bidi="ar-SA"/>
    </w:rPr>
  </w:style>
  <w:style w:type="paragraph" w:customStyle="1" w:styleId="154">
    <w:name w:val="PMletterTextBullet"/>
    <w:basedOn w:val="155"/>
    <w:uiPriority w:val="0"/>
    <w:pPr>
      <w:numPr>
        <w:ilvl w:val="0"/>
        <w:numId w:val="5"/>
      </w:numPr>
      <w:tabs>
        <w:tab w:val="left" w:pos="1800"/>
        <w:tab w:val="clear" w:pos="840"/>
      </w:tabs>
      <w:ind w:left="1800"/>
    </w:pPr>
  </w:style>
  <w:style w:type="paragraph" w:customStyle="1" w:styleId="155">
    <w:name w:val="PMletterText"/>
    <w:basedOn w:val="128"/>
    <w:uiPriority w:val="0"/>
    <w:pPr>
      <w:spacing w:before="240"/>
      <w:ind w:left="720"/>
    </w:pPr>
  </w:style>
  <w:style w:type="paragraph" w:customStyle="1" w:styleId="156">
    <w:name w:val="Body Text Indent 21"/>
    <w:basedOn w:val="1"/>
    <w:uiPriority w:val="0"/>
    <w:pPr>
      <w:adjustRightInd w:val="0"/>
      <w:ind w:left="720" w:hanging="720"/>
      <w:textAlignment w:val="baseline"/>
    </w:pPr>
    <w:rPr>
      <w:b/>
      <w:sz w:val="28"/>
    </w:rPr>
  </w:style>
  <w:style w:type="paragraph" w:customStyle="1" w:styleId="157">
    <w:name w:val="正文1"/>
    <w:basedOn w:val="1"/>
    <w:uiPriority w:val="0"/>
    <w:pPr>
      <w:widowControl/>
      <w:topLinePunct/>
      <w:spacing w:beforeLines="50" w:afterLines="50" w:line="300" w:lineRule="auto"/>
      <w:ind w:left="420"/>
    </w:pPr>
    <w:rPr>
      <w:szCs w:val="24"/>
    </w:rPr>
  </w:style>
  <w:style w:type="paragraph" w:customStyle="1" w:styleId="158">
    <w:name w:val="Char1 Char Char Char"/>
    <w:basedOn w:val="1"/>
    <w:uiPriority w:val="0"/>
    <w:pPr>
      <w:tabs>
        <w:tab w:val="left" w:pos="987"/>
      </w:tabs>
      <w:ind w:left="987" w:hanging="420"/>
    </w:pPr>
    <w:rPr>
      <w:szCs w:val="24"/>
    </w:rPr>
  </w:style>
  <w:style w:type="paragraph" w:customStyle="1" w:styleId="159">
    <w:name w:val="样式 样式 样式 样式 标题 2 + 宋体 五号 非加粗 黑色 + 段前: 6 磅 段后: 0 磅 行距: 单倍行距 + 段前:..."/>
    <w:basedOn w:val="137"/>
    <w:uiPriority w:val="0"/>
    <w:pPr>
      <w:tabs>
        <w:tab w:val="left" w:pos="1140"/>
      </w:tabs>
      <w:autoSpaceDE/>
      <w:autoSpaceDN/>
      <w:ind w:left="1140" w:hanging="720"/>
      <w:jc w:val="left"/>
      <w:textAlignment w:val="baseline"/>
    </w:pPr>
    <w:rPr>
      <w:rFonts w:cs="Times New Roman"/>
      <w:b/>
      <w:bCs/>
    </w:rPr>
  </w:style>
  <w:style w:type="paragraph" w:customStyle="1" w:styleId="160">
    <w:name w:val="p0"/>
    <w:basedOn w:val="1"/>
    <w:uiPriority w:val="0"/>
    <w:pPr>
      <w:widowControl/>
    </w:pPr>
    <w:rPr>
      <w:kern w:val="0"/>
      <w:szCs w:val="21"/>
    </w:rPr>
  </w:style>
  <w:style w:type="paragraph" w:customStyle="1" w:styleId="161">
    <w:name w:val="Char"/>
    <w:basedOn w:val="1"/>
    <w:uiPriority w:val="0"/>
    <w:pPr>
      <w:tabs>
        <w:tab w:val="left" w:pos="360"/>
      </w:tabs>
      <w:spacing w:line="360" w:lineRule="auto"/>
      <w:ind w:firstLine="480" w:firstLineChars="200"/>
    </w:pPr>
    <w:rPr>
      <w:rFonts w:ascii="宋体" w:hAnsi="宋体"/>
      <w:kern w:val="0"/>
      <w:sz w:val="24"/>
      <w:szCs w:val="24"/>
    </w:rPr>
  </w:style>
  <w:style w:type="paragraph" w:customStyle="1" w:styleId="162">
    <w:name w:val="Plain Text1"/>
    <w:basedOn w:val="1"/>
    <w:uiPriority w:val="99"/>
    <w:rPr>
      <w:rFonts w:ascii="宋体" w:hAnsi="Courier New"/>
    </w:rPr>
  </w:style>
  <w:style w:type="paragraph" w:customStyle="1" w:styleId="163">
    <w:name w:val="Char Char Char"/>
    <w:basedOn w:val="1"/>
    <w:uiPriority w:val="0"/>
    <w:pPr>
      <w:spacing w:before="120" w:after="120" w:line="360" w:lineRule="auto"/>
      <w:ind w:firstLine="200" w:firstLineChars="200"/>
    </w:pPr>
    <w:rPr>
      <w:rFonts w:ascii="Tahoma" w:hAnsi="Tahoma"/>
      <w:sz w:val="24"/>
    </w:rPr>
  </w:style>
  <w:style w:type="paragraph" w:customStyle="1" w:styleId="164">
    <w:name w:val="Char Char2 Char Char Char"/>
    <w:basedOn w:val="1"/>
    <w:uiPriority w:val="0"/>
    <w:rPr>
      <w:rFonts w:ascii="Tahoma" w:hAnsi="Tahoma"/>
      <w:sz w:val="24"/>
    </w:rPr>
  </w:style>
  <w:style w:type="paragraph" w:customStyle="1" w:styleId="165">
    <w:name w:val="样式 标题 2 + 宋体 五号 行距: 单倍行距"/>
    <w:basedOn w:val="3"/>
    <w:uiPriority w:val="0"/>
    <w:pPr>
      <w:tabs>
        <w:tab w:val="left" w:pos="1140"/>
      </w:tabs>
      <w:adjustRightInd w:val="0"/>
      <w:spacing w:line="240" w:lineRule="auto"/>
      <w:ind w:left="1140" w:hanging="720"/>
      <w:jc w:val="left"/>
      <w:textAlignment w:val="baseline"/>
    </w:pPr>
    <w:rPr>
      <w:rFonts w:ascii="宋体" w:hAnsi="宋体" w:eastAsia="宋体"/>
      <w:kern w:val="0"/>
      <w:sz w:val="21"/>
      <w:szCs w:val="20"/>
    </w:rPr>
  </w:style>
  <w:style w:type="paragraph" w:customStyle="1" w:styleId="166">
    <w:name w:val="前言、引言标题"/>
    <w:next w:val="1"/>
    <w:uiPriority w:val="0"/>
    <w:pPr>
      <w:numPr>
        <w:ilvl w:val="0"/>
        <w:numId w:val="1"/>
      </w:num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67">
    <w:name w:val="样式 宋体 五号 行距: 单倍行距"/>
    <w:basedOn w:val="1"/>
    <w:uiPriority w:val="0"/>
    <w:pPr>
      <w:adjustRightInd w:val="0"/>
      <w:jc w:val="left"/>
      <w:textAlignment w:val="baseline"/>
    </w:pPr>
    <w:rPr>
      <w:rFonts w:ascii="宋体" w:hAnsi="宋体"/>
      <w:kern w:val="0"/>
    </w:rPr>
  </w:style>
  <w:style w:type="paragraph" w:customStyle="1" w:styleId="168">
    <w:name w:val="Char1"/>
    <w:basedOn w:val="1"/>
    <w:uiPriority w:val="0"/>
    <w:pPr>
      <w:tabs>
        <w:tab w:val="left" w:pos="360"/>
      </w:tabs>
    </w:pPr>
    <w:rPr>
      <w:sz w:val="24"/>
      <w:szCs w:val="24"/>
    </w:rPr>
  </w:style>
  <w:style w:type="paragraph" w:customStyle="1" w:styleId="169">
    <w:name w:val="B表格正文"/>
    <w:next w:val="1"/>
    <w:uiPriority w:val="0"/>
    <w:rPr>
      <w:rFonts w:ascii="Calibri" w:hAnsi="Calibri" w:eastAsia="黑体" w:cs="Times New Roman"/>
      <w:kern w:val="2"/>
      <w:sz w:val="21"/>
      <w:szCs w:val="21"/>
      <w:lang w:val="en-US" w:eastAsia="zh-CN" w:bidi="ar-SA"/>
    </w:rPr>
  </w:style>
  <w:style w:type="paragraph" w:customStyle="1" w:styleId="170">
    <w:name w:val="Table Paragraph"/>
    <w:basedOn w:val="1"/>
    <w:qFormat/>
    <w:uiPriority w:val="1"/>
    <w:pPr>
      <w:spacing w:before="37"/>
      <w:jc w:val="center"/>
    </w:pPr>
    <w:rPr>
      <w:rFonts w:ascii="微软雅黑 Light" w:hAnsi="微软雅黑 Light" w:eastAsia="微软雅黑 Light" w:cs="微软雅黑 Light"/>
      <w:lang w:eastAsia="en-US" w:bidi="en-US"/>
    </w:rPr>
  </w:style>
  <w:style w:type="paragraph" w:customStyle="1" w:styleId="171">
    <w:name w:val="列出段落2"/>
    <w:basedOn w:val="1"/>
    <w:qFormat/>
    <w:uiPriority w:val="0"/>
    <w:pPr>
      <w:ind w:firstLine="420" w:firstLineChars="200"/>
    </w:pPr>
    <w:rPr>
      <w:szCs w:val="22"/>
    </w:rPr>
  </w:style>
  <w:style w:type="paragraph" w:customStyle="1" w:styleId="172">
    <w:name w:val="列出段落111"/>
    <w:basedOn w:val="1"/>
    <w:qFormat/>
    <w:uiPriority w:val="0"/>
    <w:pPr>
      <w:ind w:firstLine="420" w:firstLineChars="200"/>
    </w:pPr>
    <w:rPr>
      <w:szCs w:val="22"/>
    </w:rPr>
  </w:style>
  <w:style w:type="paragraph" w:customStyle="1" w:styleId="173">
    <w:name w:val="Normal Indent1"/>
    <w:basedOn w:val="1"/>
    <w:uiPriority w:val="99"/>
    <w:pPr>
      <w:autoSpaceDE w:val="0"/>
      <w:autoSpaceDN w:val="0"/>
      <w:adjustRightInd w:val="0"/>
      <w:ind w:firstLine="420"/>
      <w:jc w:val="left"/>
    </w:pPr>
    <w:rPr>
      <w:rFonts w:ascii="宋体"/>
      <w:kern w:val="0"/>
      <w:sz w:val="24"/>
    </w:rPr>
  </w:style>
  <w:style w:type="paragraph" w:customStyle="1" w:styleId="174">
    <w:name w:val="样式 宋体 五号 两端对齐 行距: 单倍行距1"/>
    <w:basedOn w:val="1"/>
    <w:uiPriority w:val="0"/>
    <w:pPr>
      <w:adjustRightInd w:val="0"/>
      <w:textAlignment w:val="baseline"/>
    </w:pPr>
    <w:rPr>
      <w:rFonts w:ascii="宋体" w:hAnsi="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20</Pages>
  <Words>1474</Words>
  <Characters>8404</Characters>
  <Lines>70</Lines>
  <Paragraphs>19</Paragraphs>
  <TotalTime>1</TotalTime>
  <ScaleCrop>false</ScaleCrop>
  <LinksUpToDate>false</LinksUpToDate>
  <CharactersWithSpaces>9859</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2018-11-08T07:34:00Z</dcterms:created>
  <dc:creator>a</dc:creator>
  <cp:lastModifiedBy>海绵宝宝</cp:lastModifiedBy>
  <cp:lastPrinted>2015-07-23T03:19:00Z</cp:lastPrinted>
  <dcterms:modified xsi:type="dcterms:W3CDTF">2018-11-17T06:14:26Z</dcterms:modified>
  <dc:title>广电总局政府采购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