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2100" w:firstLineChars="250"/>
        <w:rPr>
          <w:rFonts w:ascii="楷体_GB2312" w:eastAsia="楷体_GB2312"/>
          <w:sz w:val="84"/>
          <w:szCs w:val="84"/>
        </w:rPr>
      </w:pPr>
    </w:p>
    <w:p>
      <w:pPr>
        <w:jc w:val="center"/>
        <w:rPr>
          <w:rFonts w:ascii="楷体_GB2312" w:eastAsia="楷体_GB2312"/>
          <w:color w:val="000000" w:themeColor="text1"/>
          <w:sz w:val="84"/>
          <w:szCs w:val="84"/>
          <w14:textFill>
            <w14:solidFill>
              <w14:schemeClr w14:val="tx1"/>
            </w14:solidFill>
          </w14:textFill>
        </w:rPr>
      </w:pPr>
    </w:p>
    <w:p>
      <w:pPr>
        <w:jc w:val="center"/>
        <w:rPr>
          <w:rFonts w:ascii="楷体_GB2312" w:eastAsia="楷体_GB2312"/>
          <w:color w:val="000000" w:themeColor="text1"/>
          <w:sz w:val="84"/>
          <w:szCs w:val="84"/>
          <w14:textFill>
            <w14:solidFill>
              <w14:schemeClr w14:val="tx1"/>
            </w14:solidFill>
          </w14:textFill>
        </w:rPr>
      </w:pPr>
      <w:r>
        <w:rPr>
          <w:rFonts w:hint="eastAsia" w:ascii="楷体_GB2312" w:eastAsia="楷体_GB2312"/>
          <w:color w:val="000000" w:themeColor="text1"/>
          <w:sz w:val="84"/>
          <w:szCs w:val="84"/>
          <w14:textFill>
            <w14:solidFill>
              <w14:schemeClr w14:val="tx1"/>
            </w14:solidFill>
          </w14:textFill>
        </w:rPr>
        <w:t>谈判文件</w:t>
      </w:r>
    </w:p>
    <w:p>
      <w:pPr>
        <w:ind w:firstLine="600"/>
        <w:rPr>
          <w:rFonts w:ascii="楷体_GB2312" w:eastAsia="楷体_GB2312"/>
          <w:sz w:val="32"/>
        </w:rPr>
      </w:pPr>
    </w:p>
    <w:p>
      <w:pPr>
        <w:ind w:firstLine="600"/>
        <w:rPr>
          <w:rFonts w:ascii="楷体_GB2312" w:eastAsia="楷体_GB2312"/>
          <w:sz w:val="32"/>
        </w:rPr>
      </w:pPr>
    </w:p>
    <w:p>
      <w:pPr>
        <w:ind w:firstLine="600"/>
        <w:rPr>
          <w:rFonts w:ascii="楷体_GB2312" w:eastAsia="楷体_GB2312"/>
          <w:sz w:val="32"/>
        </w:rPr>
      </w:pPr>
    </w:p>
    <w:p>
      <w:pPr>
        <w:ind w:firstLine="600"/>
        <w:rPr>
          <w:rFonts w:ascii="楷体_GB2312" w:eastAsia="楷体_GB2312"/>
          <w:sz w:val="32"/>
        </w:rPr>
      </w:pPr>
    </w:p>
    <w:p>
      <w:pPr>
        <w:ind w:firstLine="600"/>
        <w:rPr>
          <w:rFonts w:eastAsia="楷体_GB2312"/>
          <w:sz w:val="32"/>
        </w:rPr>
      </w:pPr>
    </w:p>
    <w:p>
      <w:pPr>
        <w:rPr>
          <w:rFonts w:ascii="楷体_GB2312" w:eastAsia="楷体_GB2312"/>
          <w:sz w:val="32"/>
        </w:rPr>
      </w:pPr>
    </w:p>
    <w:p>
      <w:pPr>
        <w:ind w:left="962" w:leftChars="401" w:firstLine="964" w:firstLineChars="300"/>
        <w:jc w:val="both"/>
        <w:rPr>
          <w:rFonts w:ascii="楷体_GB2312" w:eastAsia="楷体_GB2312"/>
          <w:b/>
          <w:sz w:val="32"/>
        </w:rPr>
      </w:pPr>
    </w:p>
    <w:p>
      <w:pPr>
        <w:ind w:left="962" w:leftChars="401" w:firstLine="964" w:firstLineChars="300"/>
        <w:jc w:val="both"/>
        <w:rPr>
          <w:rFonts w:ascii="楷体_GB2312" w:eastAsia="楷体_GB2312"/>
          <w:b/>
          <w:sz w:val="32"/>
        </w:rPr>
      </w:pPr>
    </w:p>
    <w:p>
      <w:pPr>
        <w:ind w:left="962" w:leftChars="401" w:firstLine="964" w:firstLineChars="300"/>
        <w:jc w:val="both"/>
        <w:rPr>
          <w:rFonts w:ascii="楷体_GB2312" w:eastAsia="楷体_GB2312"/>
          <w:b/>
          <w:sz w:val="32"/>
        </w:rPr>
      </w:pPr>
    </w:p>
    <w:p>
      <w:pPr>
        <w:spacing w:line="360" w:lineRule="auto"/>
        <w:jc w:val="center"/>
        <w:rPr>
          <w:rFonts w:ascii="楷体_GB2312" w:eastAsia="楷体_GB2312"/>
          <w:b/>
          <w:sz w:val="30"/>
          <w:szCs w:val="30"/>
        </w:rPr>
      </w:pPr>
      <w:r>
        <w:rPr>
          <w:rFonts w:hint="eastAsia" w:ascii="楷体_GB2312" w:eastAsia="楷体_GB2312"/>
          <w:b/>
          <w:sz w:val="32"/>
        </w:rPr>
        <w:t>项目名称：</w:t>
      </w:r>
      <w:r>
        <w:rPr>
          <w:rFonts w:hint="eastAsia" w:ascii="楷体_GB2312" w:eastAsia="楷体_GB2312"/>
          <w:b/>
          <w:bCs/>
          <w:sz w:val="30"/>
          <w:szCs w:val="30"/>
        </w:rPr>
        <w:t>防灾科技学院2019年1月—2019年12月</w:t>
      </w:r>
    </w:p>
    <w:p>
      <w:pPr>
        <w:jc w:val="center"/>
        <w:rPr>
          <w:rFonts w:hint="eastAsia" w:ascii="楷体_GB2312" w:eastAsia="楷体_GB2312"/>
          <w:b/>
          <w:sz w:val="30"/>
          <w:szCs w:val="30"/>
        </w:rPr>
      </w:pPr>
      <w:r>
        <w:rPr>
          <w:rFonts w:hint="eastAsia" w:ascii="楷体_GB2312" w:eastAsia="楷体_GB2312"/>
          <w:b/>
          <w:sz w:val="30"/>
          <w:szCs w:val="30"/>
        </w:rPr>
        <w:t>教育网出口带宽采购项目</w:t>
      </w:r>
    </w:p>
    <w:p>
      <w:pPr>
        <w:ind w:firstLine="1506" w:firstLineChars="500"/>
        <w:jc w:val="both"/>
        <w:rPr>
          <w:rFonts w:ascii="楷体_GB2312" w:eastAsia="楷体_GB2312"/>
          <w:b/>
          <w:sz w:val="30"/>
          <w:szCs w:val="30"/>
        </w:rPr>
      </w:pPr>
      <w:r>
        <w:rPr>
          <w:rFonts w:hint="eastAsia" w:ascii="楷体_GB2312" w:eastAsia="楷体_GB2312"/>
          <w:b/>
          <w:color w:val="000000" w:themeColor="text1"/>
          <w:sz w:val="30"/>
          <w:szCs w:val="30"/>
          <w14:textFill>
            <w14:solidFill>
              <w14:schemeClr w14:val="tx1"/>
            </w14:solidFill>
          </w14:textFill>
        </w:rPr>
        <w:t>项目编号：</w:t>
      </w:r>
      <w:r>
        <w:rPr>
          <w:rFonts w:hint="eastAsia" w:ascii="楷体_GB2312" w:eastAsia="楷体_GB2312"/>
          <w:b/>
          <w:sz w:val="30"/>
          <w:szCs w:val="30"/>
        </w:rPr>
        <w:t>cidp-2018-169</w:t>
      </w:r>
    </w:p>
    <w:p>
      <w:pPr>
        <w:jc w:val="both"/>
        <w:rPr>
          <w:rFonts w:ascii="楷体_GB2312" w:eastAsia="楷体_GB2312"/>
          <w:b/>
          <w:color w:val="000000" w:themeColor="text1"/>
          <w:sz w:val="30"/>
          <w:szCs w:val="30"/>
          <w14:textFill>
            <w14:solidFill>
              <w14:schemeClr w14:val="tx1"/>
            </w14:solidFill>
          </w14:textFill>
        </w:rPr>
      </w:pPr>
    </w:p>
    <w:p>
      <w:pPr>
        <w:jc w:val="center"/>
        <w:rPr>
          <w:rFonts w:ascii="楷体_GB2312" w:eastAsia="楷体_GB2312"/>
          <w:b/>
          <w:sz w:val="30"/>
          <w:szCs w:val="30"/>
        </w:rPr>
      </w:pPr>
    </w:p>
    <w:p>
      <w:pPr>
        <w:jc w:val="center"/>
        <w:rPr>
          <w:rFonts w:ascii="楷体_GB2312" w:eastAsia="楷体_GB2312"/>
          <w:b/>
          <w:sz w:val="30"/>
          <w:szCs w:val="30"/>
        </w:rPr>
      </w:pPr>
    </w:p>
    <w:p>
      <w:pPr>
        <w:jc w:val="center"/>
        <w:rPr>
          <w:rFonts w:ascii="楷体_GB2312" w:eastAsia="楷体_GB2312"/>
          <w:b/>
          <w:sz w:val="30"/>
          <w:szCs w:val="30"/>
        </w:rPr>
      </w:pPr>
    </w:p>
    <w:p>
      <w:pPr>
        <w:jc w:val="center"/>
        <w:rPr>
          <w:rFonts w:ascii="楷体_GB2312" w:eastAsia="楷体_GB2312"/>
          <w:b/>
          <w:sz w:val="30"/>
          <w:szCs w:val="30"/>
        </w:rPr>
      </w:pPr>
    </w:p>
    <w:p>
      <w:pPr>
        <w:jc w:val="center"/>
        <w:rPr>
          <w:rFonts w:ascii="楷体_GB2312" w:eastAsia="楷体_GB2312"/>
          <w:b/>
          <w:sz w:val="30"/>
          <w:szCs w:val="30"/>
        </w:rPr>
      </w:pPr>
    </w:p>
    <w:p>
      <w:pPr>
        <w:jc w:val="center"/>
        <w:rPr>
          <w:rFonts w:ascii="楷体_GB2312" w:eastAsia="楷体_GB2312"/>
          <w:b/>
          <w:sz w:val="30"/>
          <w:szCs w:val="30"/>
        </w:rPr>
      </w:pPr>
    </w:p>
    <w:p>
      <w:pPr>
        <w:jc w:val="center"/>
        <w:rPr>
          <w:rFonts w:ascii="楷体_GB2312" w:eastAsia="楷体_GB2312"/>
          <w:b/>
          <w:sz w:val="30"/>
          <w:szCs w:val="30"/>
        </w:rPr>
      </w:pPr>
    </w:p>
    <w:p>
      <w:pPr>
        <w:jc w:val="center"/>
        <w:rPr>
          <w:rFonts w:ascii="楷体_GB2312" w:eastAsia="楷体_GB2312"/>
          <w:b/>
          <w:sz w:val="30"/>
          <w:szCs w:val="30"/>
        </w:rPr>
      </w:pPr>
    </w:p>
    <w:p>
      <w:pPr>
        <w:rPr>
          <w:rFonts w:ascii="楷体_GB2312" w:eastAsia="楷体_GB2312"/>
          <w:b/>
          <w:sz w:val="30"/>
          <w:szCs w:val="30"/>
        </w:rPr>
      </w:pPr>
    </w:p>
    <w:p>
      <w:pPr>
        <w:jc w:val="center"/>
        <w:rPr>
          <w:rFonts w:ascii="楷体_GB2312" w:eastAsia="楷体_GB2312"/>
          <w:b/>
          <w:sz w:val="30"/>
          <w:szCs w:val="30"/>
        </w:rPr>
      </w:pPr>
    </w:p>
    <w:p>
      <w:pPr>
        <w:jc w:val="center"/>
        <w:rPr>
          <w:rFonts w:ascii="楷体_GB2312" w:eastAsia="楷体_GB2312"/>
          <w:b/>
          <w:sz w:val="30"/>
          <w:szCs w:val="30"/>
        </w:rPr>
      </w:pPr>
      <w:r>
        <w:rPr>
          <w:rFonts w:hint="eastAsia" w:ascii="楷体_GB2312" w:eastAsia="楷体_GB2312"/>
          <w:b/>
          <w:sz w:val="30"/>
          <w:szCs w:val="30"/>
        </w:rPr>
        <w:t>防灾科技学院</w:t>
      </w:r>
    </w:p>
    <w:p>
      <w:pPr>
        <w:jc w:val="center"/>
        <w:rPr>
          <w:rFonts w:eastAsia="楷体_GB2312"/>
          <w:b/>
          <w:sz w:val="30"/>
          <w:szCs w:val="30"/>
        </w:rPr>
      </w:pPr>
    </w:p>
    <w:p>
      <w:pPr>
        <w:jc w:val="center"/>
        <w:rPr>
          <w:rFonts w:eastAsia="楷体_GB2312"/>
          <w:b/>
          <w:sz w:val="30"/>
          <w:szCs w:val="30"/>
        </w:rPr>
      </w:pPr>
      <w:r>
        <w:rPr>
          <w:rFonts w:hint="eastAsia" w:eastAsia="楷体_GB2312"/>
          <w:b/>
          <w:sz w:val="30"/>
          <w:szCs w:val="30"/>
        </w:rPr>
        <w:t>二0一八年十月</w:t>
      </w:r>
    </w:p>
    <w:p>
      <w:pPr>
        <w:jc w:val="center"/>
        <w:rPr>
          <w:b/>
          <w:sz w:val="30"/>
          <w:szCs w:val="30"/>
        </w:rPr>
        <w:sectPr>
          <w:headerReference r:id="rId4" w:type="first"/>
          <w:headerReference r:id="rId3" w:type="default"/>
          <w:pgSz w:w="11907" w:h="16840"/>
          <w:pgMar w:top="1440" w:right="1080" w:bottom="1440" w:left="1080" w:header="851" w:footer="851" w:gutter="0"/>
          <w:pgNumType w:start="1"/>
          <w:cols w:space="720" w:num="1"/>
          <w:titlePg/>
        </w:sectPr>
      </w:pPr>
    </w:p>
    <w:p>
      <w:pPr>
        <w:jc w:val="center"/>
        <w:rPr>
          <w:b/>
          <w:sz w:val="30"/>
          <w:szCs w:val="30"/>
        </w:rPr>
      </w:pPr>
      <w:r>
        <w:rPr>
          <w:rFonts w:hint="eastAsia"/>
          <w:b/>
          <w:sz w:val="30"/>
          <w:szCs w:val="30"/>
        </w:rPr>
        <w:t>目    录</w:t>
      </w:r>
    </w:p>
    <w:p>
      <w:pPr>
        <w:jc w:val="center"/>
        <w:rPr>
          <w:b/>
          <w:sz w:val="28"/>
          <w:szCs w:val="28"/>
        </w:rPr>
      </w:pPr>
    </w:p>
    <w:p>
      <w:pPr>
        <w:pStyle w:val="32"/>
        <w:tabs>
          <w:tab w:val="right" w:leader="dot" w:pos="9737"/>
        </w:tabs>
        <w:rPr>
          <w:rFonts w:asciiTheme="minorHAnsi" w:hAnsiTheme="minorHAnsi" w:eastAsiaTheme="minorEastAsia" w:cstheme="minorBidi"/>
          <w:kern w:val="2"/>
          <w:sz w:val="21"/>
          <w:szCs w:val="22"/>
        </w:rPr>
      </w:pPr>
      <w:r>
        <w:rPr>
          <w:rFonts w:ascii="宋体" w:hAnsi="宋体"/>
          <w:sz w:val="21"/>
          <w:szCs w:val="21"/>
        </w:rPr>
        <w:fldChar w:fldCharType="begin"/>
      </w:r>
      <w:r>
        <w:rPr>
          <w:rFonts w:ascii="宋体" w:hAnsi="宋体"/>
          <w:sz w:val="21"/>
          <w:szCs w:val="21"/>
        </w:rPr>
        <w:instrText xml:space="preserve"> TOC \o "1-1" \h \z \u </w:instrText>
      </w:r>
      <w:r>
        <w:rPr>
          <w:rFonts w:ascii="宋体" w:hAnsi="宋体"/>
          <w:sz w:val="21"/>
          <w:szCs w:val="21"/>
        </w:rPr>
        <w:fldChar w:fldCharType="separate"/>
      </w:r>
      <w:r>
        <w:fldChar w:fldCharType="begin"/>
      </w:r>
      <w:r>
        <w:instrText xml:space="preserve"> HYPERLINK \l "_Toc522963606" </w:instrText>
      </w:r>
      <w:r>
        <w:fldChar w:fldCharType="separate"/>
      </w:r>
      <w:r>
        <w:rPr>
          <w:rStyle w:val="45"/>
          <w:rFonts w:hint="eastAsia"/>
        </w:rPr>
        <w:t>第一部分 采购邀请</w:t>
      </w:r>
      <w:r>
        <w:tab/>
      </w:r>
      <w:r>
        <w:fldChar w:fldCharType="begin"/>
      </w:r>
      <w:r>
        <w:instrText xml:space="preserve"> PAGEREF _Toc522963606 \h </w:instrText>
      </w:r>
      <w:r>
        <w:fldChar w:fldCharType="separate"/>
      </w:r>
      <w:r>
        <w:t>2</w:t>
      </w:r>
      <w:r>
        <w:fldChar w:fldCharType="end"/>
      </w:r>
      <w:r>
        <w:fldChar w:fldCharType="end"/>
      </w:r>
    </w:p>
    <w:p>
      <w:pPr>
        <w:pStyle w:val="32"/>
        <w:tabs>
          <w:tab w:val="right" w:leader="dot" w:pos="9737"/>
        </w:tabs>
        <w:rPr>
          <w:rFonts w:asciiTheme="minorHAnsi" w:hAnsiTheme="minorHAnsi" w:eastAsiaTheme="minorEastAsia" w:cstheme="minorBidi"/>
          <w:kern w:val="2"/>
          <w:sz w:val="21"/>
          <w:szCs w:val="22"/>
        </w:rPr>
      </w:pPr>
      <w:r>
        <w:fldChar w:fldCharType="begin"/>
      </w:r>
      <w:r>
        <w:instrText xml:space="preserve"> HYPERLINK \l "_Toc522963607" </w:instrText>
      </w:r>
      <w:r>
        <w:fldChar w:fldCharType="separate"/>
      </w:r>
      <w:r>
        <w:rPr>
          <w:rStyle w:val="45"/>
          <w:rFonts w:hint="eastAsia" w:ascii="宋体" w:hAnsi="宋体"/>
        </w:rPr>
        <w:t>第二部分</w:t>
      </w:r>
      <w:r>
        <w:rPr>
          <w:rStyle w:val="45"/>
          <w:rFonts w:hint="eastAsia"/>
        </w:rPr>
        <w:t xml:space="preserve"> 服务供应商须知前附表</w:t>
      </w:r>
      <w:r>
        <w:tab/>
      </w:r>
      <w:r>
        <w:fldChar w:fldCharType="begin"/>
      </w:r>
      <w:r>
        <w:instrText xml:space="preserve"> PAGEREF _Toc522963607 \h </w:instrText>
      </w:r>
      <w:r>
        <w:fldChar w:fldCharType="separate"/>
      </w:r>
      <w:r>
        <w:t>3</w:t>
      </w:r>
      <w:r>
        <w:fldChar w:fldCharType="end"/>
      </w:r>
      <w:r>
        <w:fldChar w:fldCharType="end"/>
      </w:r>
    </w:p>
    <w:p>
      <w:pPr>
        <w:pStyle w:val="32"/>
        <w:tabs>
          <w:tab w:val="right" w:leader="dot" w:pos="9737"/>
        </w:tabs>
        <w:rPr>
          <w:rFonts w:asciiTheme="minorHAnsi" w:hAnsiTheme="minorHAnsi" w:eastAsiaTheme="minorEastAsia" w:cstheme="minorBidi"/>
          <w:kern w:val="2"/>
          <w:sz w:val="21"/>
          <w:szCs w:val="22"/>
        </w:rPr>
      </w:pPr>
      <w:r>
        <w:fldChar w:fldCharType="begin"/>
      </w:r>
      <w:r>
        <w:instrText xml:space="preserve"> HYPERLINK \l "_Toc522963608" </w:instrText>
      </w:r>
      <w:r>
        <w:fldChar w:fldCharType="separate"/>
      </w:r>
      <w:r>
        <w:rPr>
          <w:rStyle w:val="45"/>
          <w:rFonts w:hint="eastAsia"/>
        </w:rPr>
        <w:t>第三部分</w:t>
      </w:r>
      <w:r>
        <w:rPr>
          <w:rStyle w:val="45"/>
        </w:rPr>
        <w:t xml:space="preserve"> </w:t>
      </w:r>
      <w:r>
        <w:rPr>
          <w:rStyle w:val="45"/>
          <w:rFonts w:hint="eastAsia"/>
        </w:rPr>
        <w:t>服务供应商须知</w:t>
      </w:r>
      <w:r>
        <w:tab/>
      </w:r>
      <w:r>
        <w:fldChar w:fldCharType="begin"/>
      </w:r>
      <w:r>
        <w:instrText xml:space="preserve"> PAGEREF _Toc522963608 \h </w:instrText>
      </w:r>
      <w:r>
        <w:fldChar w:fldCharType="separate"/>
      </w:r>
      <w:r>
        <w:t>5</w:t>
      </w:r>
      <w:r>
        <w:fldChar w:fldCharType="end"/>
      </w:r>
      <w:r>
        <w:fldChar w:fldCharType="end"/>
      </w:r>
    </w:p>
    <w:p>
      <w:pPr>
        <w:pStyle w:val="32"/>
        <w:tabs>
          <w:tab w:val="right" w:leader="dot" w:pos="9737"/>
        </w:tabs>
        <w:rPr>
          <w:rFonts w:asciiTheme="minorHAnsi" w:hAnsiTheme="minorHAnsi" w:eastAsiaTheme="minorEastAsia" w:cstheme="minorBidi"/>
          <w:kern w:val="2"/>
          <w:sz w:val="21"/>
          <w:szCs w:val="22"/>
        </w:rPr>
      </w:pPr>
      <w:r>
        <w:fldChar w:fldCharType="begin"/>
      </w:r>
      <w:r>
        <w:instrText xml:space="preserve"> HYPERLINK \l "_Toc522963609" </w:instrText>
      </w:r>
      <w:r>
        <w:fldChar w:fldCharType="separate"/>
      </w:r>
      <w:r>
        <w:rPr>
          <w:rStyle w:val="45"/>
          <w:rFonts w:hint="eastAsia"/>
        </w:rPr>
        <w:t>第四部分</w:t>
      </w:r>
      <w:r>
        <w:rPr>
          <w:rStyle w:val="45"/>
        </w:rPr>
        <w:t xml:space="preserve">  </w:t>
      </w:r>
      <w:r>
        <w:rPr>
          <w:rStyle w:val="45"/>
          <w:rFonts w:hint="eastAsia"/>
        </w:rPr>
        <w:t>评标细则和评分方法</w:t>
      </w:r>
      <w:r>
        <w:tab/>
      </w:r>
      <w:r>
        <w:fldChar w:fldCharType="begin"/>
      </w:r>
      <w:r>
        <w:instrText xml:space="preserve"> PAGEREF _Toc522963609 \h </w:instrText>
      </w:r>
      <w:r>
        <w:fldChar w:fldCharType="separate"/>
      </w:r>
      <w:r>
        <w:t>14</w:t>
      </w:r>
      <w:r>
        <w:fldChar w:fldCharType="end"/>
      </w:r>
      <w:r>
        <w:fldChar w:fldCharType="end"/>
      </w:r>
    </w:p>
    <w:p>
      <w:pPr>
        <w:pStyle w:val="32"/>
        <w:tabs>
          <w:tab w:val="right" w:leader="dot" w:pos="9737"/>
        </w:tabs>
        <w:rPr>
          <w:rFonts w:asciiTheme="minorHAnsi" w:hAnsiTheme="minorHAnsi" w:eastAsiaTheme="minorEastAsia" w:cstheme="minorBidi"/>
          <w:kern w:val="2"/>
          <w:sz w:val="21"/>
          <w:szCs w:val="22"/>
        </w:rPr>
      </w:pPr>
      <w:r>
        <w:fldChar w:fldCharType="begin"/>
      </w:r>
      <w:r>
        <w:instrText xml:space="preserve"> HYPERLINK \l "_Toc522963610" </w:instrText>
      </w:r>
      <w:r>
        <w:fldChar w:fldCharType="separate"/>
      </w:r>
      <w:r>
        <w:rPr>
          <w:rStyle w:val="45"/>
          <w:rFonts w:hint="eastAsia"/>
        </w:rPr>
        <w:t>第五部分</w:t>
      </w:r>
      <w:r>
        <w:rPr>
          <w:rStyle w:val="45"/>
        </w:rPr>
        <w:t xml:space="preserve">  </w:t>
      </w:r>
      <w:r>
        <w:rPr>
          <w:rStyle w:val="45"/>
          <w:rFonts w:hint="eastAsia"/>
        </w:rPr>
        <w:t>采购货物清单、质量和供货要求</w:t>
      </w:r>
      <w:r>
        <w:tab/>
      </w:r>
      <w:r>
        <w:fldChar w:fldCharType="begin"/>
      </w:r>
      <w:r>
        <w:instrText xml:space="preserve"> PAGEREF _Toc522963610 \h </w:instrText>
      </w:r>
      <w:r>
        <w:fldChar w:fldCharType="separate"/>
      </w:r>
      <w:r>
        <w:t>15</w:t>
      </w:r>
      <w:r>
        <w:fldChar w:fldCharType="end"/>
      </w:r>
      <w:r>
        <w:fldChar w:fldCharType="end"/>
      </w:r>
    </w:p>
    <w:p>
      <w:pPr>
        <w:pStyle w:val="32"/>
        <w:tabs>
          <w:tab w:val="right" w:leader="dot" w:pos="9737"/>
        </w:tabs>
        <w:rPr>
          <w:rFonts w:asciiTheme="minorHAnsi" w:hAnsiTheme="minorHAnsi" w:eastAsiaTheme="minorEastAsia" w:cstheme="minorBidi"/>
          <w:kern w:val="2"/>
          <w:sz w:val="21"/>
          <w:szCs w:val="22"/>
        </w:rPr>
      </w:pPr>
      <w:r>
        <w:fldChar w:fldCharType="begin"/>
      </w:r>
      <w:r>
        <w:instrText xml:space="preserve"> HYPERLINK \l "_Toc522963611" </w:instrText>
      </w:r>
      <w:r>
        <w:fldChar w:fldCharType="separate"/>
      </w:r>
      <w:r>
        <w:rPr>
          <w:rStyle w:val="45"/>
          <w:rFonts w:hint="eastAsia"/>
        </w:rPr>
        <w:t>第六部分</w:t>
      </w:r>
      <w:r>
        <w:rPr>
          <w:rStyle w:val="45"/>
        </w:rPr>
        <w:t xml:space="preserve">  </w:t>
      </w:r>
      <w:r>
        <w:rPr>
          <w:rStyle w:val="45"/>
          <w:rFonts w:hint="eastAsia"/>
        </w:rPr>
        <w:t>采</w:t>
      </w:r>
      <w:r>
        <w:rPr>
          <w:rStyle w:val="45"/>
        </w:rPr>
        <w:t xml:space="preserve"> </w:t>
      </w:r>
      <w:r>
        <w:rPr>
          <w:rStyle w:val="45"/>
          <w:rFonts w:hint="eastAsia"/>
        </w:rPr>
        <w:t>购</w:t>
      </w:r>
      <w:r>
        <w:rPr>
          <w:rStyle w:val="45"/>
        </w:rPr>
        <w:t xml:space="preserve"> </w:t>
      </w:r>
      <w:r>
        <w:rPr>
          <w:rStyle w:val="45"/>
          <w:rFonts w:hint="eastAsia"/>
        </w:rPr>
        <w:t>合</w:t>
      </w:r>
      <w:r>
        <w:rPr>
          <w:rStyle w:val="45"/>
        </w:rPr>
        <w:t xml:space="preserve"> </w:t>
      </w:r>
      <w:r>
        <w:rPr>
          <w:rStyle w:val="45"/>
          <w:rFonts w:hint="eastAsia"/>
        </w:rPr>
        <w:t>同</w:t>
      </w:r>
      <w:r>
        <w:tab/>
      </w:r>
      <w:r>
        <w:fldChar w:fldCharType="begin"/>
      </w:r>
      <w:r>
        <w:instrText xml:space="preserve"> PAGEREF _Toc522963611 \h </w:instrText>
      </w:r>
      <w:r>
        <w:fldChar w:fldCharType="separate"/>
      </w:r>
      <w:r>
        <w:t>17</w:t>
      </w:r>
      <w:r>
        <w:fldChar w:fldCharType="end"/>
      </w:r>
      <w:r>
        <w:fldChar w:fldCharType="end"/>
      </w:r>
    </w:p>
    <w:p>
      <w:pPr>
        <w:pStyle w:val="32"/>
        <w:tabs>
          <w:tab w:val="right" w:leader="dot" w:pos="9737"/>
        </w:tabs>
        <w:rPr>
          <w:rFonts w:asciiTheme="minorHAnsi" w:hAnsiTheme="minorHAnsi" w:eastAsiaTheme="minorEastAsia" w:cstheme="minorBidi"/>
          <w:kern w:val="2"/>
          <w:sz w:val="21"/>
          <w:szCs w:val="22"/>
        </w:rPr>
      </w:pPr>
      <w:r>
        <w:fldChar w:fldCharType="begin"/>
      </w:r>
      <w:r>
        <w:instrText xml:space="preserve"> HYPERLINK \l "_Toc522963612" </w:instrText>
      </w:r>
      <w:r>
        <w:fldChar w:fldCharType="separate"/>
      </w:r>
      <w:r>
        <w:rPr>
          <w:rStyle w:val="45"/>
          <w:rFonts w:hint="eastAsia"/>
        </w:rPr>
        <w:t>第七部分</w:t>
      </w:r>
      <w:r>
        <w:rPr>
          <w:rStyle w:val="45"/>
        </w:rPr>
        <w:t xml:space="preserve">  </w:t>
      </w:r>
      <w:r>
        <w:rPr>
          <w:rStyle w:val="45"/>
          <w:rFonts w:hint="eastAsia"/>
        </w:rPr>
        <w:t>采购文件格式</w:t>
      </w:r>
      <w:r>
        <w:tab/>
      </w:r>
      <w:r>
        <w:fldChar w:fldCharType="begin"/>
      </w:r>
      <w:r>
        <w:instrText xml:space="preserve"> PAGEREF _Toc522963612 \h </w:instrText>
      </w:r>
      <w:r>
        <w:fldChar w:fldCharType="separate"/>
      </w:r>
      <w:r>
        <w:t>22</w:t>
      </w:r>
      <w:r>
        <w:fldChar w:fldCharType="end"/>
      </w:r>
      <w:r>
        <w:fldChar w:fldCharType="end"/>
      </w:r>
    </w:p>
    <w:p>
      <w:pPr>
        <w:jc w:val="both"/>
        <w:rPr>
          <w:sz w:val="21"/>
          <w:szCs w:val="21"/>
        </w:rPr>
      </w:pPr>
      <w:r>
        <w:rPr>
          <w:rFonts w:ascii="宋体" w:hAnsi="宋体"/>
          <w:sz w:val="21"/>
          <w:szCs w:val="21"/>
        </w:rPr>
        <w:fldChar w:fldCharType="end"/>
      </w:r>
    </w:p>
    <w:p>
      <w:pPr>
        <w:jc w:val="both"/>
        <w:rPr>
          <w:sz w:val="21"/>
          <w:szCs w:val="21"/>
        </w:rPr>
        <w:sectPr>
          <w:pgSz w:w="11907" w:h="16840"/>
          <w:pgMar w:top="1440" w:right="1080" w:bottom="1440" w:left="1080" w:header="851" w:footer="851" w:gutter="0"/>
          <w:pgNumType w:start="1"/>
          <w:cols w:space="720" w:num="1"/>
          <w:titlePg/>
        </w:sectPr>
      </w:pPr>
      <w:r>
        <w:rPr>
          <w:rFonts w:hint="eastAsia"/>
          <w:sz w:val="21"/>
          <w:szCs w:val="21"/>
        </w:rPr>
        <w:t xml:space="preserve">   </w:t>
      </w:r>
    </w:p>
    <w:p>
      <w:pPr>
        <w:pStyle w:val="77"/>
        <w:ind w:left="142" w:firstLine="0"/>
      </w:pPr>
      <w:bookmarkStart w:id="0" w:name="_Toc99718111"/>
      <w:bookmarkStart w:id="1" w:name="_Toc87373362"/>
      <w:bookmarkStart w:id="2" w:name="_Toc87810214"/>
      <w:bookmarkStart w:id="3" w:name="_Toc87373461"/>
      <w:bookmarkStart w:id="4" w:name="_Toc99881721"/>
      <w:r>
        <w:rPr>
          <w:rFonts w:hint="eastAsia"/>
        </w:rPr>
        <w:t xml:space="preserve"> </w:t>
      </w:r>
      <w:bookmarkStart w:id="5" w:name="_Toc522963606"/>
      <w:r>
        <w:rPr>
          <w:rFonts w:hint="eastAsia"/>
        </w:rPr>
        <w:t>采购邀请</w:t>
      </w:r>
      <w:bookmarkEnd w:id="0"/>
      <w:bookmarkEnd w:id="1"/>
      <w:bookmarkEnd w:id="2"/>
      <w:bookmarkEnd w:id="3"/>
      <w:bookmarkEnd w:id="4"/>
      <w:bookmarkEnd w:id="5"/>
    </w:p>
    <w:p>
      <w:pPr>
        <w:pStyle w:val="39"/>
        <w:spacing w:before="0" w:beforeAutospacing="0" w:after="0" w:afterAutospacing="0" w:line="360" w:lineRule="auto"/>
        <w:ind w:firstLine="422" w:firstLineChars="200"/>
      </w:pPr>
      <w:bookmarkStart w:id="6" w:name="_Toc103333680"/>
      <w:bookmarkStart w:id="7" w:name="_Toc116879907"/>
      <w:bookmarkStart w:id="8" w:name="_Toc99881722"/>
      <w:bookmarkStart w:id="9" w:name="_Toc99941294"/>
      <w:bookmarkStart w:id="10" w:name="_Toc99718112"/>
      <w:bookmarkStart w:id="11" w:name="_Toc87810216"/>
      <w:bookmarkStart w:id="12" w:name="_Toc87373364"/>
      <w:bookmarkStart w:id="13" w:name="_Toc87373463"/>
      <w:r>
        <w:rPr>
          <w:rFonts w:hint="eastAsia" w:ascii="’宋体’" w:hAnsi="’宋体’" w:eastAsia="’宋体’" w:cs="’宋体’"/>
          <w:b/>
          <w:bCs/>
          <w:sz w:val="21"/>
          <w:szCs w:val="21"/>
          <w:u w:val="single"/>
        </w:rPr>
        <w:t>防灾科技学院</w:t>
      </w:r>
      <w:r>
        <w:rPr>
          <w:rFonts w:hint="eastAsia" w:ascii="’宋体’" w:hAnsi="’宋体’" w:eastAsia="’宋体’" w:cs="’宋体’"/>
          <w:sz w:val="21"/>
          <w:szCs w:val="21"/>
        </w:rPr>
        <w:t xml:space="preserve"> 邀请赛尔网络有限公司就 </w:t>
      </w:r>
      <w:r>
        <w:rPr>
          <w:rFonts w:hint="eastAsia" w:ascii="’宋体’" w:hAnsi="’宋体’" w:eastAsia="’宋体’" w:cs="’宋体’"/>
          <w:b/>
          <w:bCs/>
          <w:sz w:val="21"/>
          <w:szCs w:val="21"/>
          <w:u w:val="single"/>
        </w:rPr>
        <w:t>防灾科技学院2019年1月—2019年12月互教育网出口带宽采购项目</w:t>
      </w:r>
      <w:r>
        <w:rPr>
          <w:rFonts w:hint="eastAsia" w:ascii="’宋体’" w:hAnsi="’宋体’" w:eastAsia="’宋体’" w:cs="’宋体’"/>
          <w:sz w:val="21"/>
          <w:szCs w:val="21"/>
        </w:rPr>
        <w:t xml:space="preserve"> 的相关货物和有关服务进行校内自行采购，请服务供应商</w:t>
      </w:r>
      <w:r>
        <w:rPr>
          <w:rFonts w:ascii="’宋体’" w:hAnsi="’宋体’" w:eastAsia="’宋体’" w:cs="’宋体’"/>
          <w:sz w:val="21"/>
          <w:szCs w:val="21"/>
        </w:rPr>
        <w:t>提交密封采购文件。</w:t>
      </w:r>
    </w:p>
    <w:p>
      <w:pPr>
        <w:pStyle w:val="39"/>
        <w:numPr>
          <w:ilvl w:val="0"/>
          <w:numId w:val="13"/>
        </w:numPr>
        <w:spacing w:before="0" w:beforeAutospacing="0" w:after="0" w:afterAutospacing="0" w:line="360" w:lineRule="auto"/>
        <w:rPr>
          <w:rFonts w:ascii="’宋体’" w:hAnsi="’宋体’" w:eastAsia="’宋体’" w:cs="’宋体’"/>
          <w:sz w:val="21"/>
          <w:szCs w:val="21"/>
        </w:rPr>
      </w:pPr>
      <w:r>
        <w:rPr>
          <w:rFonts w:hint="eastAsia" w:ascii="’宋体’" w:hAnsi="’宋体’" w:eastAsia="’宋体’" w:cs="’宋体’"/>
          <w:sz w:val="21"/>
          <w:szCs w:val="21"/>
        </w:rPr>
        <w:t>采购内容</w:t>
      </w:r>
    </w:p>
    <w:p>
      <w:pPr>
        <w:pStyle w:val="39"/>
        <w:spacing w:before="0" w:beforeAutospacing="0" w:after="0" w:afterAutospacing="0" w:line="360" w:lineRule="auto"/>
        <w:ind w:firstLine="420" w:firstLineChars="200"/>
        <w:rPr>
          <w:rFonts w:ascii="’宋体’" w:hAnsi="’宋体’" w:eastAsia="’宋体’" w:cs="’宋体’"/>
          <w:sz w:val="21"/>
          <w:szCs w:val="21"/>
        </w:rPr>
      </w:pPr>
      <w:r>
        <w:rPr>
          <w:rFonts w:ascii="’宋体’" w:hAnsi="’宋体’" w:eastAsia="’宋体’" w:cs="’宋体’"/>
          <w:sz w:val="21"/>
          <w:szCs w:val="21"/>
        </w:rPr>
        <w:t>项目名称：</w:t>
      </w:r>
      <w:r>
        <w:rPr>
          <w:rFonts w:hint="eastAsia" w:ascii="’宋体’" w:hAnsi="’宋体’" w:eastAsia="’宋体’" w:cs="’宋体’"/>
          <w:b/>
          <w:bCs/>
          <w:sz w:val="21"/>
          <w:szCs w:val="21"/>
        </w:rPr>
        <w:t>防灾科技学院2019年1月—2019年12月教育网出口带宽采购项目</w:t>
      </w:r>
    </w:p>
    <w:p>
      <w:pPr>
        <w:pStyle w:val="39"/>
        <w:spacing w:before="0" w:beforeAutospacing="0" w:after="0" w:afterAutospacing="0" w:line="360" w:lineRule="auto"/>
        <w:ind w:firstLine="420" w:firstLineChars="200"/>
        <w:rPr>
          <w:rFonts w:ascii="’宋体’" w:hAnsi="’宋体’" w:eastAsia="’宋体’" w:cs="’宋体’"/>
          <w:sz w:val="21"/>
          <w:szCs w:val="21"/>
        </w:rPr>
      </w:pPr>
      <w:r>
        <w:rPr>
          <w:rFonts w:hint="eastAsia" w:ascii="’宋体’" w:hAnsi="’宋体’" w:eastAsia="’宋体’" w:cs="’宋体’"/>
          <w:sz w:val="21"/>
          <w:szCs w:val="21"/>
        </w:rPr>
        <w:t>防灾科技学院教育网带宽项目拟采购200M的教育网带宽。</w:t>
      </w:r>
    </w:p>
    <w:p>
      <w:pPr>
        <w:pStyle w:val="39"/>
        <w:spacing w:before="0" w:beforeAutospacing="0" w:after="0" w:afterAutospacing="0" w:line="360" w:lineRule="auto"/>
        <w:ind w:firstLine="420" w:firstLineChars="200"/>
        <w:rPr>
          <w:rFonts w:ascii="’宋体’" w:hAnsi="’宋体’" w:eastAsia="’宋体’" w:cs="’宋体’"/>
          <w:sz w:val="21"/>
          <w:szCs w:val="21"/>
        </w:rPr>
      </w:pPr>
      <w:r>
        <w:rPr>
          <w:rFonts w:hint="eastAsia" w:ascii="’宋体’" w:hAnsi="’宋体’" w:eastAsia="’宋体’" w:cs="’宋体’"/>
          <w:sz w:val="21"/>
          <w:szCs w:val="21"/>
        </w:rPr>
        <w:t>1、采购范围包括：</w:t>
      </w:r>
      <w:r>
        <w:rPr>
          <w:rFonts w:hint="eastAsia" w:ascii="’宋体’" w:hAnsi="’宋体’" w:eastAsia="’宋体’" w:cs="’宋体’"/>
          <w:sz w:val="21"/>
          <w:szCs w:val="21"/>
          <w:u w:val="single"/>
        </w:rPr>
        <w:t>货物的供应、运输、安装调试、施工、培训、系统集成及售后服务。</w:t>
      </w:r>
    </w:p>
    <w:p>
      <w:pPr>
        <w:pStyle w:val="39"/>
        <w:spacing w:before="0" w:beforeAutospacing="0" w:after="0" w:afterAutospacing="0" w:line="360" w:lineRule="auto"/>
        <w:ind w:firstLine="420" w:firstLineChars="200"/>
        <w:rPr>
          <w:rFonts w:ascii="’宋体’" w:hAnsi="’宋体’" w:eastAsia="’宋体’" w:cs="’宋体’"/>
          <w:sz w:val="21"/>
          <w:szCs w:val="21"/>
        </w:rPr>
      </w:pPr>
      <w:r>
        <w:rPr>
          <w:rFonts w:hint="eastAsia" w:ascii="’宋体’" w:hAnsi="’宋体’" w:eastAsia="’宋体’" w:cs="’宋体’"/>
          <w:sz w:val="21"/>
          <w:szCs w:val="21"/>
        </w:rPr>
        <w:t>具体采购范围及所应达到的具体要求，以本采购文件中商务、技术和服务的相应规定为准。服务供应商的采购文件必须满足本次采购的实质目的，完全实现所应有的全部要求。服务供应商若存在任何理解上无法正确确定之处，均应当按照采购文件所规定的投标前的澄清等程序提出，否则，可能导致的任何不利后果均应当由服务供应商自行承担。</w:t>
      </w:r>
    </w:p>
    <w:p>
      <w:pPr>
        <w:pStyle w:val="39"/>
        <w:spacing w:before="0" w:beforeAutospacing="0" w:after="0" w:afterAutospacing="0" w:line="360" w:lineRule="auto"/>
        <w:ind w:firstLine="420" w:firstLineChars="200"/>
        <w:rPr>
          <w:rFonts w:ascii="’宋体’" w:hAnsi="’宋体’" w:eastAsia="’宋体’" w:cs="’宋体’"/>
          <w:sz w:val="21"/>
          <w:szCs w:val="21"/>
        </w:rPr>
      </w:pPr>
      <w:r>
        <w:rPr>
          <w:rFonts w:hint="eastAsia" w:ascii="’宋体’" w:hAnsi="’宋体’" w:eastAsia="’宋体’" w:cs="’宋体’"/>
          <w:sz w:val="21"/>
          <w:szCs w:val="21"/>
        </w:rPr>
        <w:t>2、履约时间：</w:t>
      </w:r>
      <w:r>
        <w:rPr>
          <w:rFonts w:hint="eastAsia" w:ascii="’宋体’" w:hAnsi="’宋体’" w:eastAsia="’宋体’" w:cs="’宋体’"/>
          <w:sz w:val="21"/>
          <w:szCs w:val="21"/>
          <w:u w:val="single"/>
        </w:rPr>
        <w:t xml:space="preserve">             合同签订后10个工作日                  </w:t>
      </w:r>
    </w:p>
    <w:p>
      <w:pPr>
        <w:pStyle w:val="39"/>
        <w:spacing w:before="0" w:beforeAutospacing="0" w:after="0" w:afterAutospacing="0" w:line="360" w:lineRule="auto"/>
        <w:ind w:firstLine="420" w:firstLineChars="200"/>
        <w:rPr>
          <w:rFonts w:ascii="’宋体’" w:hAnsi="’宋体’" w:eastAsia="’宋体’" w:cs="’宋体’"/>
          <w:sz w:val="21"/>
          <w:szCs w:val="21"/>
        </w:rPr>
      </w:pPr>
      <w:r>
        <w:rPr>
          <w:rFonts w:hint="eastAsia" w:ascii="’宋体’" w:hAnsi="’宋体’" w:eastAsia="’宋体’" w:cs="’宋体’"/>
          <w:sz w:val="21"/>
          <w:szCs w:val="21"/>
        </w:rPr>
        <w:t>3、履约地点：</w:t>
      </w:r>
      <w:r>
        <w:rPr>
          <w:rFonts w:hint="eastAsia" w:ascii="’宋体’" w:hAnsi="’宋体’" w:eastAsia="’宋体’" w:cs="’宋体’"/>
          <w:sz w:val="21"/>
          <w:szCs w:val="21"/>
          <w:u w:val="single"/>
        </w:rPr>
        <w:t xml:space="preserve">             防灾科技学院南北校区                   </w:t>
      </w:r>
    </w:p>
    <w:p>
      <w:pPr>
        <w:pStyle w:val="39"/>
        <w:spacing w:before="0" w:beforeAutospacing="0" w:after="0" w:afterAutospacing="0" w:line="360" w:lineRule="auto"/>
        <w:ind w:firstLine="420" w:firstLineChars="200"/>
        <w:rPr>
          <w:rFonts w:ascii="’宋体’" w:hAnsi="’宋体’" w:eastAsia="’宋体’" w:cs="’宋体’"/>
          <w:sz w:val="21"/>
          <w:szCs w:val="21"/>
        </w:rPr>
      </w:pPr>
      <w:r>
        <w:rPr>
          <w:rFonts w:hint="eastAsia" w:ascii="’宋体’" w:hAnsi="’宋体’" w:eastAsia="’宋体’" w:cs="’宋体’"/>
          <w:sz w:val="21"/>
          <w:szCs w:val="21"/>
        </w:rPr>
        <w:t>二、谈判文件发售时间、地点、售价：</w:t>
      </w:r>
    </w:p>
    <w:p>
      <w:pPr>
        <w:pStyle w:val="39"/>
        <w:spacing w:before="0" w:beforeAutospacing="0" w:after="0" w:afterAutospacing="0" w:line="360" w:lineRule="auto"/>
        <w:ind w:firstLine="420" w:firstLineChars="200"/>
        <w:rPr>
          <w:rFonts w:ascii="’宋体’" w:hAnsi="’宋体’" w:eastAsia="’宋体’" w:cs="’宋体’"/>
          <w:sz w:val="21"/>
          <w:szCs w:val="21"/>
        </w:rPr>
      </w:pPr>
      <w:r>
        <w:rPr>
          <w:rFonts w:hint="eastAsia" w:ascii="’宋体’" w:hAnsi="’宋体’" w:eastAsia="’宋体’" w:cs="’宋体’"/>
          <w:sz w:val="21"/>
          <w:szCs w:val="21"/>
        </w:rPr>
        <w:t>公告日期：</w:t>
      </w:r>
      <w:r>
        <w:rPr>
          <w:rFonts w:hint="eastAsia" w:ascii="仿宋" w:hAnsi="仿宋" w:eastAsia="仿宋" w:cs="仿宋"/>
          <w:i w:val="0"/>
          <w:caps w:val="0"/>
          <w:color w:val="000000"/>
          <w:spacing w:val="0"/>
          <w:sz w:val="21"/>
          <w:szCs w:val="21"/>
        </w:rPr>
        <w:t>2018年10月25日至2018年10月</w:t>
      </w:r>
      <w:r>
        <w:rPr>
          <w:rFonts w:hint="eastAsia" w:ascii="仿宋" w:hAnsi="仿宋" w:eastAsia="仿宋" w:cs="仿宋"/>
          <w:i w:val="0"/>
          <w:caps w:val="0"/>
          <w:color w:val="000000"/>
          <w:spacing w:val="0"/>
          <w:sz w:val="21"/>
          <w:szCs w:val="21"/>
          <w:lang w:val="en-US" w:eastAsia="zh-CN"/>
        </w:rPr>
        <w:t>31</w:t>
      </w:r>
      <w:r>
        <w:rPr>
          <w:rFonts w:hint="eastAsia" w:ascii="仿宋" w:hAnsi="仿宋" w:eastAsia="仿宋" w:cs="仿宋"/>
          <w:i w:val="0"/>
          <w:caps w:val="0"/>
          <w:color w:val="000000"/>
          <w:spacing w:val="0"/>
          <w:sz w:val="21"/>
          <w:szCs w:val="21"/>
        </w:rPr>
        <w:t>日</w:t>
      </w:r>
      <w:r>
        <w:rPr>
          <w:rFonts w:hint="eastAsia" w:ascii="’宋体’" w:hAnsi="’宋体’" w:eastAsia="’宋体’" w:cs="’宋体’"/>
          <w:sz w:val="21"/>
          <w:szCs w:val="21"/>
        </w:rPr>
        <w:t>（节假日除外）</w:t>
      </w:r>
    </w:p>
    <w:p>
      <w:pPr>
        <w:pStyle w:val="39"/>
        <w:spacing w:before="0" w:beforeAutospacing="0" w:after="0" w:afterAutospacing="0" w:line="360" w:lineRule="auto"/>
        <w:ind w:firstLine="420" w:firstLineChars="200"/>
        <w:rPr>
          <w:rFonts w:ascii="’宋体’" w:hAnsi="’宋体’" w:eastAsia="’宋体’" w:cs="’宋体’"/>
          <w:sz w:val="21"/>
          <w:szCs w:val="21"/>
        </w:rPr>
      </w:pPr>
      <w:r>
        <w:rPr>
          <w:rFonts w:hint="eastAsia" w:ascii="’宋体’" w:hAnsi="’宋体’" w:eastAsia="’宋体’" w:cs="’宋体’"/>
          <w:sz w:val="21"/>
          <w:szCs w:val="21"/>
        </w:rPr>
        <w:t>获取文件及报名：防灾科技学院明德楼122室；联系人：蒋老师、李老师；联系电话：01061596041、03163333559</w:t>
      </w:r>
    </w:p>
    <w:p>
      <w:pPr>
        <w:pStyle w:val="39"/>
        <w:spacing w:before="0" w:beforeAutospacing="0" w:after="0" w:afterAutospacing="0" w:line="360" w:lineRule="auto"/>
        <w:ind w:firstLine="420" w:firstLineChars="200"/>
        <w:rPr>
          <w:rFonts w:ascii="’宋体’" w:hAnsi="’宋体’" w:eastAsia="’宋体’" w:cs="’宋体’"/>
          <w:sz w:val="21"/>
          <w:szCs w:val="21"/>
        </w:rPr>
      </w:pPr>
      <w:r>
        <w:rPr>
          <w:rFonts w:hint="eastAsia" w:ascii="’宋体’" w:hAnsi="’宋体’" w:eastAsia="’宋体’" w:cs="’宋体’"/>
          <w:sz w:val="21"/>
          <w:szCs w:val="21"/>
        </w:rPr>
        <w:t>报名及获取谈判文件时间：</w:t>
      </w:r>
      <w:r>
        <w:rPr>
          <w:rFonts w:hint="eastAsia" w:ascii="仿宋" w:hAnsi="仿宋" w:eastAsia="仿宋" w:cs="仿宋"/>
          <w:i w:val="0"/>
          <w:caps w:val="0"/>
          <w:color w:val="000000"/>
          <w:spacing w:val="0"/>
          <w:sz w:val="21"/>
          <w:szCs w:val="21"/>
        </w:rPr>
        <w:t>2018年</w:t>
      </w:r>
      <w:r>
        <w:rPr>
          <w:rFonts w:hint="eastAsia" w:ascii="仿宋" w:hAnsi="仿宋" w:eastAsia="仿宋" w:cs="仿宋"/>
          <w:i w:val="0"/>
          <w:caps w:val="0"/>
          <w:color w:val="000000"/>
          <w:spacing w:val="0"/>
          <w:sz w:val="21"/>
          <w:szCs w:val="21"/>
          <w:lang w:val="en-US" w:eastAsia="zh-CN"/>
        </w:rPr>
        <w:t>10</w:t>
      </w:r>
      <w:r>
        <w:rPr>
          <w:rFonts w:hint="eastAsia" w:ascii="仿宋" w:hAnsi="仿宋" w:eastAsia="仿宋" w:cs="仿宋"/>
          <w:i w:val="0"/>
          <w:caps w:val="0"/>
          <w:color w:val="000000"/>
          <w:spacing w:val="0"/>
          <w:sz w:val="21"/>
          <w:szCs w:val="21"/>
        </w:rPr>
        <w:t>月</w:t>
      </w:r>
      <w:r>
        <w:rPr>
          <w:rFonts w:hint="eastAsia" w:ascii="仿宋" w:hAnsi="仿宋" w:eastAsia="仿宋" w:cs="仿宋"/>
          <w:i w:val="0"/>
          <w:caps w:val="0"/>
          <w:color w:val="000000"/>
          <w:spacing w:val="0"/>
          <w:sz w:val="21"/>
          <w:szCs w:val="21"/>
          <w:lang w:val="en-US" w:eastAsia="zh-CN"/>
        </w:rPr>
        <w:t>31</w:t>
      </w:r>
      <w:r>
        <w:rPr>
          <w:rFonts w:hint="eastAsia" w:ascii="仿宋" w:hAnsi="仿宋" w:eastAsia="仿宋" w:cs="仿宋"/>
          <w:i w:val="0"/>
          <w:caps w:val="0"/>
          <w:color w:val="000000"/>
          <w:spacing w:val="0"/>
          <w:sz w:val="21"/>
          <w:szCs w:val="21"/>
        </w:rPr>
        <w:t>日（10:00-12:00，14:00—17:00）（节假日除外）</w:t>
      </w:r>
    </w:p>
    <w:p>
      <w:pPr>
        <w:pStyle w:val="39"/>
        <w:spacing w:before="0" w:beforeAutospacing="0" w:after="0" w:afterAutospacing="0" w:line="360" w:lineRule="auto"/>
        <w:ind w:firstLine="420" w:firstLineChars="200"/>
        <w:rPr>
          <w:rFonts w:ascii="’宋体’" w:hAnsi="’宋体’" w:eastAsia="’宋体’" w:cs="’宋体’"/>
          <w:sz w:val="21"/>
          <w:szCs w:val="21"/>
        </w:rPr>
      </w:pPr>
      <w:r>
        <w:rPr>
          <w:rFonts w:hint="eastAsia" w:ascii="’宋体’" w:hAnsi="’宋体’" w:eastAsia="’宋体’" w:cs="’宋体’"/>
          <w:sz w:val="21"/>
          <w:szCs w:val="21"/>
        </w:rPr>
        <w:t>踏勘及技术咨询：防灾科技学院承基楼1212室 联系人：周老师  联系电话：010-58412507</w:t>
      </w:r>
    </w:p>
    <w:p>
      <w:pPr>
        <w:pStyle w:val="39"/>
        <w:spacing w:before="0" w:beforeAutospacing="0" w:after="0" w:afterAutospacing="0" w:line="360" w:lineRule="auto"/>
        <w:ind w:firstLine="420" w:firstLineChars="200"/>
        <w:rPr>
          <w:rFonts w:ascii="’宋体’" w:hAnsi="’宋体’" w:eastAsia="’宋体’" w:cs="’宋体’"/>
          <w:sz w:val="21"/>
          <w:szCs w:val="21"/>
        </w:rPr>
      </w:pPr>
      <w:r>
        <w:rPr>
          <w:rFonts w:hint="eastAsia" w:ascii="’宋体’" w:hAnsi="’宋体’" w:eastAsia="’宋体’" w:cs="’宋体’"/>
          <w:sz w:val="21"/>
          <w:szCs w:val="21"/>
        </w:rPr>
        <w:t>响应文件提交的截止时间：</w:t>
      </w:r>
      <w:r>
        <w:rPr>
          <w:rFonts w:hint="eastAsia" w:ascii="仿宋" w:hAnsi="仿宋" w:eastAsia="仿宋" w:cs="仿宋"/>
          <w:i w:val="0"/>
          <w:caps w:val="0"/>
          <w:color w:val="000000"/>
          <w:spacing w:val="0"/>
          <w:sz w:val="21"/>
          <w:szCs w:val="21"/>
        </w:rPr>
        <w:t>2018年11月02日1</w:t>
      </w:r>
      <w:r>
        <w:rPr>
          <w:rFonts w:hint="eastAsia" w:ascii="仿宋" w:hAnsi="仿宋" w:eastAsia="仿宋" w:cs="仿宋"/>
          <w:i w:val="0"/>
          <w:caps w:val="0"/>
          <w:color w:val="000000"/>
          <w:spacing w:val="0"/>
          <w:sz w:val="21"/>
          <w:szCs w:val="21"/>
          <w:lang w:val="en-US" w:eastAsia="zh-CN"/>
        </w:rPr>
        <w:t>5</w:t>
      </w:r>
      <w:r>
        <w:rPr>
          <w:rFonts w:hint="eastAsia" w:ascii="仿宋" w:hAnsi="仿宋" w:eastAsia="仿宋" w:cs="仿宋"/>
          <w:i w:val="0"/>
          <w:caps w:val="0"/>
          <w:color w:val="000000"/>
          <w:spacing w:val="0"/>
          <w:sz w:val="21"/>
          <w:szCs w:val="21"/>
        </w:rPr>
        <w:t>:00</w:t>
      </w:r>
      <w:r>
        <w:rPr>
          <w:rFonts w:hint="eastAsia" w:ascii="’宋体’" w:hAnsi="’宋体’" w:eastAsia="’宋体’" w:cs="’宋体’"/>
          <w:sz w:val="21"/>
          <w:szCs w:val="21"/>
        </w:rPr>
        <w:t>（北京时间）</w:t>
      </w:r>
    </w:p>
    <w:p>
      <w:pPr>
        <w:pStyle w:val="39"/>
        <w:spacing w:before="0" w:beforeAutospacing="0" w:after="0" w:afterAutospacing="0" w:line="360" w:lineRule="auto"/>
        <w:ind w:firstLine="420" w:firstLineChars="200"/>
        <w:rPr>
          <w:rFonts w:ascii="’宋体’" w:hAnsi="’宋体’" w:eastAsia="’宋体’" w:cs="’宋体’"/>
          <w:sz w:val="21"/>
          <w:szCs w:val="21"/>
        </w:rPr>
      </w:pPr>
      <w:r>
        <w:rPr>
          <w:rFonts w:hint="eastAsia" w:ascii="’宋体’" w:hAnsi="’宋体’" w:eastAsia="’宋体’" w:cs="’宋体’"/>
          <w:sz w:val="21"/>
          <w:szCs w:val="21"/>
        </w:rPr>
        <w:t>响应文件开启地点：防灾科技学院明德楼</w:t>
      </w:r>
      <w:r>
        <w:rPr>
          <w:rFonts w:hint="eastAsia" w:ascii="’宋体’" w:hAnsi="’宋体’" w:eastAsia="’宋体’" w:cs="’宋体’"/>
          <w:sz w:val="21"/>
          <w:szCs w:val="21"/>
          <w:lang w:val="en-US" w:eastAsia="zh-CN"/>
        </w:rPr>
        <w:t>2</w:t>
      </w:r>
      <w:r>
        <w:rPr>
          <w:rFonts w:hint="eastAsia" w:ascii="’宋体’" w:hAnsi="’宋体’" w:eastAsia="’宋体’" w:cs="’宋体’"/>
          <w:sz w:val="21"/>
          <w:szCs w:val="21"/>
        </w:rPr>
        <w:t>34会议室</w:t>
      </w:r>
      <w:bookmarkStart w:id="172" w:name="_GoBack"/>
      <w:bookmarkEnd w:id="172"/>
    </w:p>
    <w:p>
      <w:pPr>
        <w:pStyle w:val="39"/>
        <w:spacing w:before="0" w:beforeAutospacing="0" w:after="0" w:afterAutospacing="0" w:line="360" w:lineRule="auto"/>
        <w:ind w:firstLine="420" w:firstLineChars="200"/>
        <w:rPr>
          <w:rFonts w:ascii="’宋体’" w:hAnsi="’宋体’" w:eastAsia="’宋体’" w:cs="’宋体’"/>
          <w:sz w:val="21"/>
          <w:szCs w:val="21"/>
        </w:rPr>
      </w:pPr>
      <w:r>
        <w:rPr>
          <w:rFonts w:hint="eastAsia" w:ascii="’宋体’" w:hAnsi="’宋体’" w:eastAsia="’宋体’" w:cs="’宋体’"/>
          <w:sz w:val="21"/>
          <w:szCs w:val="21"/>
        </w:rPr>
        <w:t>谈判时间：同响应文件提交的截止时间</w:t>
      </w:r>
    </w:p>
    <w:p>
      <w:pPr>
        <w:pStyle w:val="39"/>
        <w:spacing w:before="0" w:beforeAutospacing="0" w:after="0" w:afterAutospacing="0" w:line="360" w:lineRule="auto"/>
        <w:ind w:firstLine="420" w:firstLineChars="200"/>
        <w:rPr>
          <w:rFonts w:ascii="’宋体’" w:hAnsi="’宋体’" w:eastAsia="’宋体’" w:cs="’宋体’"/>
          <w:sz w:val="21"/>
          <w:szCs w:val="21"/>
        </w:rPr>
      </w:pPr>
      <w:r>
        <w:rPr>
          <w:rFonts w:hint="eastAsia" w:ascii="’宋体’" w:hAnsi="’宋体’" w:eastAsia="’宋体’" w:cs="’宋体’"/>
          <w:sz w:val="21"/>
          <w:szCs w:val="21"/>
        </w:rPr>
        <w:t>三、凡对谈判提出询问，请按下列内容与防灾科技学院联系：</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地</w:t>
      </w:r>
      <w:r>
        <w:rPr>
          <w:rFonts w:hint="eastAsia" w:ascii="’宋体’" w:hAnsi="’宋体’" w:eastAsia="’宋体’" w:cs="’宋体’"/>
          <w:sz w:val="21"/>
          <w:szCs w:val="21"/>
        </w:rPr>
        <w:tab/>
      </w:r>
      <w:r>
        <w:rPr>
          <w:rFonts w:hint="eastAsia" w:ascii="’宋体’" w:hAnsi="’宋体’" w:eastAsia="’宋体’" w:cs="’宋体’"/>
          <w:sz w:val="21"/>
          <w:szCs w:val="21"/>
        </w:rPr>
        <w:t>址：河北省三河市燕郊高新区防灾科技学院</w:t>
      </w:r>
    </w:p>
    <w:bookmarkEnd w:id="6"/>
    <w:bookmarkEnd w:id="7"/>
    <w:bookmarkEnd w:id="8"/>
    <w:bookmarkEnd w:id="9"/>
    <w:bookmarkEnd w:id="10"/>
    <w:bookmarkEnd w:id="11"/>
    <w:bookmarkEnd w:id="12"/>
    <w:bookmarkEnd w:id="13"/>
    <w:p>
      <w:pPr>
        <w:widowControl/>
        <w:adjustRightInd/>
        <w:spacing w:line="240" w:lineRule="auto"/>
        <w:textAlignment w:val="auto"/>
        <w:rPr>
          <w:rFonts w:cs="宋体"/>
          <w:b/>
          <w:bCs/>
          <w:kern w:val="44"/>
          <w:sz w:val="28"/>
        </w:rPr>
      </w:pPr>
      <w:r>
        <w:br w:type="page"/>
      </w:r>
    </w:p>
    <w:p>
      <w:pPr>
        <w:pStyle w:val="77"/>
        <w:ind w:left="0" w:firstLine="0"/>
        <w:rPr>
          <w:rFonts w:ascii="宋体" w:hAnsi="宋体"/>
          <w:szCs w:val="28"/>
        </w:rPr>
      </w:pPr>
      <w:r>
        <w:rPr>
          <w:rFonts w:hint="eastAsia"/>
        </w:rPr>
        <w:t xml:space="preserve"> </w:t>
      </w:r>
      <w:bookmarkStart w:id="14" w:name="_Toc87373469"/>
      <w:bookmarkStart w:id="15" w:name="_Toc99718118"/>
      <w:bookmarkStart w:id="16" w:name="_Toc522963607"/>
      <w:bookmarkStart w:id="17" w:name="_Toc99881728"/>
      <w:bookmarkStart w:id="18" w:name="_Toc87810222"/>
      <w:bookmarkStart w:id="19" w:name="_Toc87373370"/>
      <w:r>
        <w:rPr>
          <w:rFonts w:hint="eastAsia"/>
        </w:rPr>
        <w:t>服务供应商须知前附表</w:t>
      </w:r>
      <w:bookmarkEnd w:id="14"/>
      <w:bookmarkEnd w:id="15"/>
      <w:bookmarkEnd w:id="16"/>
      <w:bookmarkEnd w:id="17"/>
      <w:bookmarkEnd w:id="18"/>
      <w:bookmarkEnd w:id="19"/>
    </w:p>
    <w:p>
      <w:pPr>
        <w:spacing w:line="360" w:lineRule="auto"/>
        <w:ind w:firstLine="420" w:firstLineChars="200"/>
        <w:rPr>
          <w:sz w:val="21"/>
          <w:szCs w:val="21"/>
        </w:rPr>
      </w:pPr>
      <w:r>
        <w:rPr>
          <w:rFonts w:hint="eastAsia"/>
          <w:sz w:val="21"/>
          <w:szCs w:val="21"/>
        </w:rPr>
        <w:t>本表是对采购文件第三部分《服务供应商须知》的具体细化及补充，如有矛盾，应以本表内容为准。</w:t>
      </w:r>
    </w:p>
    <w:p>
      <w:pPr>
        <w:pStyle w:val="102"/>
        <w:numPr>
          <w:ilvl w:val="0"/>
          <w:numId w:val="0"/>
        </w:numPr>
        <w:tabs>
          <w:tab w:val="left" w:pos="972"/>
        </w:tabs>
        <w:ind w:firstLine="420" w:firstLineChars="200"/>
        <w:rPr>
          <w:rFonts w:hAnsi="Courier New"/>
          <w:color w:val="000000" w:themeColor="text1"/>
          <w:kern w:val="2"/>
          <w14:textFill>
            <w14:solidFill>
              <w14:schemeClr w14:val="tx1"/>
            </w14:solidFill>
          </w14:textFill>
        </w:rPr>
      </w:pPr>
    </w:p>
    <w:tbl>
      <w:tblPr>
        <w:tblStyle w:val="47"/>
        <w:tblpPr w:leftFromText="180" w:rightFromText="180" w:vertAnchor="text" w:horzAnchor="page" w:tblpX="1068" w:tblpY="283"/>
        <w:tblOverlap w:val="never"/>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534"/>
        <w:gridCol w:w="6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0" w:type="dxa"/>
          </w:tcPr>
          <w:p>
            <w:pPr>
              <w:spacing w:line="240" w:lineRule="auto"/>
              <w:jc w:val="center"/>
              <w:rPr>
                <w:rFonts w:ascii="宋体" w:hAnsi="宋体"/>
                <w:b/>
                <w:color w:val="000000" w:themeColor="text1"/>
                <w:szCs w:val="28"/>
                <w14:textFill>
                  <w14:solidFill>
                    <w14:schemeClr w14:val="tx1"/>
                  </w14:solidFill>
                </w14:textFill>
              </w:rPr>
            </w:pPr>
            <w:r>
              <w:rPr>
                <w:rFonts w:hint="eastAsia" w:ascii="宋体" w:hAnsi="宋体"/>
                <w:b/>
                <w:color w:val="000000" w:themeColor="text1"/>
                <w:szCs w:val="28"/>
                <w14:textFill>
                  <w14:solidFill>
                    <w14:schemeClr w14:val="tx1"/>
                  </w14:solidFill>
                </w14:textFill>
              </w:rPr>
              <w:t>序号</w:t>
            </w:r>
          </w:p>
        </w:tc>
        <w:tc>
          <w:tcPr>
            <w:tcW w:w="1534" w:type="dxa"/>
            <w:vAlign w:val="center"/>
          </w:tcPr>
          <w:p>
            <w:pPr>
              <w:spacing w:line="240" w:lineRule="auto"/>
              <w:jc w:val="center"/>
              <w:rPr>
                <w:rFonts w:ascii="宋体" w:hAnsi="宋体"/>
                <w:b/>
                <w:color w:val="000000" w:themeColor="text1"/>
                <w:szCs w:val="28"/>
                <w14:textFill>
                  <w14:solidFill>
                    <w14:schemeClr w14:val="tx1"/>
                  </w14:solidFill>
                </w14:textFill>
              </w:rPr>
            </w:pPr>
            <w:r>
              <w:rPr>
                <w:rFonts w:hint="eastAsia" w:ascii="宋体" w:hAnsi="宋体"/>
                <w:b/>
                <w:color w:val="000000" w:themeColor="text1"/>
                <w:szCs w:val="28"/>
                <w14:textFill>
                  <w14:solidFill>
                    <w14:schemeClr w14:val="tx1"/>
                  </w14:solidFill>
                </w14:textFill>
              </w:rPr>
              <w:t>内容</w:t>
            </w:r>
          </w:p>
        </w:tc>
        <w:tc>
          <w:tcPr>
            <w:tcW w:w="6969" w:type="dxa"/>
            <w:vAlign w:val="center"/>
          </w:tcPr>
          <w:p>
            <w:pPr>
              <w:spacing w:line="240" w:lineRule="auto"/>
              <w:jc w:val="center"/>
              <w:rPr>
                <w:rFonts w:ascii="宋体" w:hAnsi="宋体"/>
                <w:b/>
                <w:color w:val="000000" w:themeColor="text1"/>
                <w:szCs w:val="28"/>
                <w14:textFill>
                  <w14:solidFill>
                    <w14:schemeClr w14:val="tx1"/>
                  </w14:solidFill>
                </w14:textFill>
              </w:rPr>
            </w:pPr>
            <w:r>
              <w:rPr>
                <w:rFonts w:hint="eastAsia" w:ascii="宋体" w:hAnsi="宋体"/>
                <w:b/>
                <w:color w:val="000000" w:themeColor="text1"/>
                <w:szCs w:val="28"/>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500" w:type="dxa"/>
            <w:vAlign w:val="center"/>
          </w:tcPr>
          <w:p>
            <w:pPr>
              <w:spacing w:line="240" w:lineRule="auto"/>
              <w:jc w:val="center"/>
              <w:rPr>
                <w:rFonts w:ascii="宋体" w:hAnsi="宋体"/>
                <w:b/>
                <w:color w:val="000000" w:themeColor="text1"/>
                <w:sz w:val="21"/>
                <w:szCs w:val="28"/>
                <w14:textFill>
                  <w14:solidFill>
                    <w14:schemeClr w14:val="tx1"/>
                  </w14:solidFill>
                </w14:textFill>
              </w:rPr>
            </w:pPr>
            <w:r>
              <w:rPr>
                <w:rFonts w:hint="eastAsia" w:ascii="宋体" w:hAnsi="宋体"/>
                <w:b/>
                <w:color w:val="000000" w:themeColor="text1"/>
                <w:sz w:val="21"/>
                <w:szCs w:val="28"/>
                <w14:textFill>
                  <w14:solidFill>
                    <w14:schemeClr w14:val="tx1"/>
                  </w14:solidFill>
                </w14:textFill>
              </w:rPr>
              <w:t>1</w:t>
            </w:r>
          </w:p>
        </w:tc>
        <w:tc>
          <w:tcPr>
            <w:tcW w:w="1534" w:type="dxa"/>
            <w:vAlign w:val="center"/>
          </w:tcPr>
          <w:p>
            <w:pPr>
              <w:pStyle w:val="103"/>
              <w:keepNext w:val="0"/>
              <w:keepLines w:val="0"/>
              <w:numPr>
                <w:ilvl w:val="0"/>
                <w:numId w:val="0"/>
              </w:numPr>
              <w:spacing w:before="0" w:after="0"/>
              <w:jc w:val="center"/>
              <w:rPr>
                <w:rFonts w:ascii="宋体" w:hAnsi="宋体" w:eastAsia="宋体"/>
                <w:bCs w:val="0"/>
                <w:color w:val="000000" w:themeColor="text1"/>
                <w:sz w:val="21"/>
                <w:szCs w:val="28"/>
                <w14:textFill>
                  <w14:solidFill>
                    <w14:schemeClr w14:val="tx1"/>
                  </w14:solidFill>
                </w14:textFill>
              </w:rPr>
            </w:pPr>
            <w:r>
              <w:rPr>
                <w:rFonts w:hint="eastAsia" w:ascii="宋体" w:hAnsi="宋体" w:eastAsia="宋体"/>
                <w:bCs w:val="0"/>
                <w:color w:val="000000" w:themeColor="text1"/>
                <w:sz w:val="21"/>
                <w:szCs w:val="28"/>
                <w14:textFill>
                  <w14:solidFill>
                    <w14:schemeClr w14:val="tx1"/>
                  </w14:solidFill>
                </w14:textFill>
              </w:rPr>
              <w:t>采购人名称</w:t>
            </w:r>
          </w:p>
        </w:tc>
        <w:tc>
          <w:tcPr>
            <w:tcW w:w="6969" w:type="dxa"/>
            <w:vAlign w:val="center"/>
          </w:tcPr>
          <w:p>
            <w:pPr>
              <w:pStyle w:val="90"/>
              <w:keepNext w:val="0"/>
              <w:keepLines w:val="0"/>
              <w:numPr>
                <w:ilvl w:val="0"/>
                <w:numId w:val="0"/>
              </w:numPr>
              <w:spacing w:before="0"/>
              <w:ind w:firstLine="420" w:firstLineChars="200"/>
              <w:jc w:val="center"/>
              <w:rPr>
                <w:color w:val="000000" w:themeColor="text1"/>
                <w:szCs w:val="21"/>
                <w14:textFill>
                  <w14:solidFill>
                    <w14:schemeClr w14:val="tx1"/>
                  </w14:solidFill>
                </w14:textFill>
              </w:rPr>
            </w:pPr>
            <w:r>
              <w:rPr>
                <w:rFonts w:hint="eastAsia" w:ascii="Times New Roman" w:cs="Times New Roman"/>
                <w:color w:val="000000" w:themeColor="text1"/>
                <w:szCs w:val="21"/>
                <w14:textFill>
                  <w14:solidFill>
                    <w14:schemeClr w14:val="tx1"/>
                  </w14:solidFill>
                </w14:textFill>
              </w:rPr>
              <w:t>防灾科技学院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0" w:type="dxa"/>
            <w:vAlign w:val="center"/>
          </w:tcPr>
          <w:p>
            <w:pPr>
              <w:spacing w:line="240" w:lineRule="auto"/>
              <w:jc w:val="center"/>
              <w:rPr>
                <w:rFonts w:ascii="宋体" w:hAnsi="宋体"/>
                <w:b/>
                <w:color w:val="000000" w:themeColor="text1"/>
                <w:sz w:val="21"/>
                <w:szCs w:val="28"/>
                <w14:textFill>
                  <w14:solidFill>
                    <w14:schemeClr w14:val="tx1"/>
                  </w14:solidFill>
                </w14:textFill>
              </w:rPr>
            </w:pPr>
            <w:r>
              <w:rPr>
                <w:rFonts w:hint="eastAsia" w:ascii="宋体" w:hAnsi="宋体"/>
                <w:b/>
                <w:color w:val="000000" w:themeColor="text1"/>
                <w:sz w:val="21"/>
                <w:szCs w:val="28"/>
                <w14:textFill>
                  <w14:solidFill>
                    <w14:schemeClr w14:val="tx1"/>
                  </w14:solidFill>
                </w14:textFill>
              </w:rPr>
              <w:t>2</w:t>
            </w:r>
          </w:p>
        </w:tc>
        <w:tc>
          <w:tcPr>
            <w:tcW w:w="1534" w:type="dxa"/>
            <w:vAlign w:val="center"/>
          </w:tcPr>
          <w:p>
            <w:pPr>
              <w:spacing w:line="240" w:lineRule="auto"/>
              <w:jc w:val="center"/>
              <w:rPr>
                <w:rFonts w:ascii="宋体" w:hAnsi="宋体"/>
                <w:b/>
                <w:color w:val="000000" w:themeColor="text1"/>
                <w:sz w:val="21"/>
                <w:szCs w:val="28"/>
                <w14:textFill>
                  <w14:solidFill>
                    <w14:schemeClr w14:val="tx1"/>
                  </w14:solidFill>
                </w14:textFill>
              </w:rPr>
            </w:pPr>
            <w:r>
              <w:rPr>
                <w:rFonts w:hint="eastAsia" w:ascii="宋体" w:hAnsi="宋体"/>
                <w:b/>
                <w:color w:val="000000" w:themeColor="text1"/>
                <w:sz w:val="21"/>
                <w:szCs w:val="28"/>
                <w14:textFill>
                  <w14:solidFill>
                    <w14:schemeClr w14:val="tx1"/>
                  </w14:solidFill>
                </w14:textFill>
              </w:rPr>
              <w:t>服务供应商资质要求</w:t>
            </w:r>
          </w:p>
        </w:tc>
        <w:tc>
          <w:tcPr>
            <w:tcW w:w="6969" w:type="dxa"/>
            <w:vAlign w:val="center"/>
          </w:tcPr>
          <w:p>
            <w:pPr>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1、具备《政府采购法》第二十二条规定的条件，并提供相应证明材料：</w:t>
            </w:r>
          </w:p>
          <w:p>
            <w:pPr>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（1）具有独立承担民事责任的能力；</w:t>
            </w:r>
          </w:p>
          <w:p>
            <w:pPr>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（2）具有良好的商业信誉和健全的财务会计制度；</w:t>
            </w:r>
          </w:p>
          <w:p>
            <w:pPr>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（3）具有履行合同所必需的设备和专业技术能力；</w:t>
            </w:r>
          </w:p>
          <w:p>
            <w:pPr>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（4）具有依法缴纳税收和社会保障资金的良好记录；</w:t>
            </w:r>
          </w:p>
          <w:p>
            <w:pPr>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（5）参加政府采购活动前三年内，在经营活动中没有重大违法记录；</w:t>
            </w:r>
          </w:p>
          <w:p>
            <w:pPr>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（6）国家法律、行政法规规定的其他条件。</w:t>
            </w:r>
          </w:p>
          <w:p>
            <w:pPr>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2、服务供应商须具有基础电信业务经营许可证，服务供应商为各省市县分公司的，可提供总公司（集团）符合要求的经营许可证；</w:t>
            </w:r>
          </w:p>
          <w:p>
            <w:pPr>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3、本次采购不允许联合体投标。</w:t>
            </w:r>
          </w:p>
          <w:p>
            <w:pPr>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4、本次采购不允许代理商投标。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0" w:type="dxa"/>
            <w:vAlign w:val="center"/>
          </w:tcPr>
          <w:p>
            <w:pPr>
              <w:spacing w:line="240" w:lineRule="auto"/>
              <w:jc w:val="center"/>
              <w:rPr>
                <w:rFonts w:ascii="宋体" w:hAnsi="宋体"/>
                <w:b/>
                <w:color w:val="000000" w:themeColor="text1"/>
                <w:sz w:val="21"/>
                <w:szCs w:val="28"/>
                <w14:textFill>
                  <w14:solidFill>
                    <w14:schemeClr w14:val="tx1"/>
                  </w14:solidFill>
                </w14:textFill>
              </w:rPr>
            </w:pPr>
            <w:r>
              <w:rPr>
                <w:rFonts w:hint="eastAsia" w:ascii="宋体" w:hAnsi="宋体"/>
                <w:b/>
                <w:color w:val="000000" w:themeColor="text1"/>
                <w:sz w:val="21"/>
                <w:szCs w:val="28"/>
                <w14:textFill>
                  <w14:solidFill>
                    <w14:schemeClr w14:val="tx1"/>
                  </w14:solidFill>
                </w14:textFill>
              </w:rPr>
              <w:t>3</w:t>
            </w:r>
          </w:p>
        </w:tc>
        <w:tc>
          <w:tcPr>
            <w:tcW w:w="1534" w:type="dxa"/>
            <w:vAlign w:val="center"/>
          </w:tcPr>
          <w:p>
            <w:pPr>
              <w:spacing w:line="240" w:lineRule="auto"/>
              <w:jc w:val="center"/>
              <w:rPr>
                <w:rFonts w:ascii="宋体" w:hAnsi="宋体"/>
                <w:b/>
                <w:color w:val="000000" w:themeColor="text1"/>
                <w:sz w:val="21"/>
                <w:szCs w:val="28"/>
                <w14:textFill>
                  <w14:solidFill>
                    <w14:schemeClr w14:val="tx1"/>
                  </w14:solidFill>
                </w14:textFill>
              </w:rPr>
            </w:pPr>
            <w:r>
              <w:rPr>
                <w:rFonts w:hint="eastAsia" w:ascii="宋体" w:hAnsi="宋体"/>
                <w:b/>
                <w:color w:val="000000" w:themeColor="text1"/>
                <w:sz w:val="21"/>
                <w:szCs w:val="28"/>
                <w14:textFill>
                  <w14:solidFill>
                    <w14:schemeClr w14:val="tx1"/>
                  </w14:solidFill>
                </w14:textFill>
              </w:rPr>
              <w:t>服务供应商应提交的商务文件</w:t>
            </w:r>
          </w:p>
        </w:tc>
        <w:tc>
          <w:tcPr>
            <w:tcW w:w="6969" w:type="dxa"/>
            <w:vAlign w:val="center"/>
          </w:tcPr>
          <w:p>
            <w:pPr>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其中加*项目若有缺失或无效，将可能导致投标被拒绝且不允许在开标后补正：</w:t>
            </w:r>
          </w:p>
          <w:p>
            <w:pPr>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w:t>
            </w:r>
            <w:r>
              <w:rPr>
                <w:rFonts w:hint="eastAsia" w:ascii="宋体" w:hAnsi="宋体"/>
                <w:color w:val="000000" w:themeColor="text1"/>
                <w:sz w:val="21"/>
                <w:szCs w:val="21"/>
                <w14:textFill>
                  <w14:solidFill>
                    <w14:schemeClr w14:val="tx1"/>
                  </w14:solidFill>
                </w14:textFill>
              </w:rPr>
              <w:tab/>
            </w:r>
            <w:r>
              <w:rPr>
                <w:rFonts w:hint="eastAsia" w:ascii="宋体" w:hAnsi="宋体"/>
                <w:color w:val="000000" w:themeColor="text1"/>
                <w:sz w:val="21"/>
                <w:szCs w:val="21"/>
                <w14:textFill>
                  <w14:solidFill>
                    <w14:schemeClr w14:val="tx1"/>
                  </w14:solidFill>
                </w14:textFill>
              </w:rPr>
              <w:t>*投标函；</w:t>
            </w:r>
          </w:p>
          <w:p>
            <w:pPr>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w:t>
            </w:r>
            <w:r>
              <w:rPr>
                <w:rFonts w:hint="eastAsia" w:ascii="宋体" w:hAnsi="宋体"/>
                <w:color w:val="000000" w:themeColor="text1"/>
                <w:sz w:val="21"/>
                <w:szCs w:val="21"/>
                <w14:textFill>
                  <w14:solidFill>
                    <w14:schemeClr w14:val="tx1"/>
                  </w14:solidFill>
                </w14:textFill>
              </w:rPr>
              <w:tab/>
            </w:r>
            <w:r>
              <w:rPr>
                <w:rFonts w:hint="eastAsia" w:ascii="宋体" w:hAnsi="宋体"/>
                <w:color w:val="000000" w:themeColor="text1"/>
                <w:sz w:val="21"/>
                <w:szCs w:val="21"/>
                <w14:textFill>
                  <w14:solidFill>
                    <w14:schemeClr w14:val="tx1"/>
                  </w14:solidFill>
                </w14:textFill>
              </w:rPr>
              <w:t>*法定代表人授权委托书；</w:t>
            </w:r>
          </w:p>
          <w:p>
            <w:pPr>
              <w:ind w:left="432" w:leftChars="18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ab/>
            </w:r>
            <w:r>
              <w:rPr>
                <w:rFonts w:hint="eastAsia" w:ascii="宋体" w:hAnsi="宋体"/>
                <w:color w:val="000000" w:themeColor="text1"/>
                <w:sz w:val="21"/>
                <w:szCs w:val="21"/>
                <w14:textFill>
                  <w14:solidFill>
                    <w14:schemeClr w14:val="tx1"/>
                  </w14:solidFill>
                </w14:textFill>
              </w:rPr>
              <w:t>*满足本表第2条“服务供应商的资质要求”和“《政府采购法》第二十二条”规定的条件并提交下列证明文件：</w:t>
            </w:r>
          </w:p>
          <w:p>
            <w:pPr>
              <w:ind w:left="480" w:leftChars="200"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1)有效的营业执照副本复印件加盖企业公章，开户许可证复印件加盖企业公章；</w:t>
            </w:r>
          </w:p>
          <w:p>
            <w:pPr>
              <w:ind w:left="480" w:leftChars="200"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2)法定代表人书面授权书原件及法定代表人身份证复印件（加盖公章），代理人身份证原件及复印件；</w:t>
            </w:r>
          </w:p>
          <w:p>
            <w:pPr>
              <w:ind w:left="480" w:leftChars="200"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3)服务供应商提供具有履行合同所必需的设备和专业技术能力的书面声明；</w:t>
            </w:r>
          </w:p>
          <w:p>
            <w:pPr>
              <w:ind w:left="480" w:leftChars="200"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4)信用中国或国家企业信用信息公示系统或中央政府采购网查询的信用截图（加盖公章）。</w:t>
            </w:r>
          </w:p>
          <w:p>
            <w:pPr>
              <w:ind w:left="480" w:leftChars="200"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服务供应商须具有基础电信业务经营许可证，服务供应商为各省市县分公司的，可提供总公司（集团）经营许可证，以及总公司（集团）或省级分公司针对本项目给服务供应商出具的投标授权函原件（报名时可提供复印件）。</w:t>
            </w:r>
          </w:p>
          <w:p>
            <w:pPr>
              <w:ind w:firstLine="525" w:firstLineChars="25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4、商务文件偏离表；</w:t>
            </w:r>
          </w:p>
          <w:p>
            <w:pPr>
              <w:ind w:firstLine="525" w:firstLineChars="25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5、服务供应商认为需要提供的其他商务资料。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0" w:type="dxa"/>
            <w:vAlign w:val="center"/>
          </w:tcPr>
          <w:p>
            <w:pPr>
              <w:spacing w:line="240" w:lineRule="auto"/>
              <w:jc w:val="center"/>
              <w:rPr>
                <w:rFonts w:ascii="宋体" w:hAnsi="宋体"/>
                <w:b/>
                <w:color w:val="000000" w:themeColor="text1"/>
                <w:sz w:val="21"/>
                <w:szCs w:val="28"/>
                <w14:textFill>
                  <w14:solidFill>
                    <w14:schemeClr w14:val="tx1"/>
                  </w14:solidFill>
                </w14:textFill>
              </w:rPr>
            </w:pPr>
            <w:r>
              <w:rPr>
                <w:rFonts w:hint="eastAsia" w:ascii="宋体" w:hAnsi="宋体"/>
                <w:b/>
                <w:color w:val="000000" w:themeColor="text1"/>
                <w:sz w:val="21"/>
                <w:szCs w:val="28"/>
                <w14:textFill>
                  <w14:solidFill>
                    <w14:schemeClr w14:val="tx1"/>
                  </w14:solidFill>
                </w14:textFill>
              </w:rPr>
              <w:t>4</w:t>
            </w:r>
          </w:p>
        </w:tc>
        <w:tc>
          <w:tcPr>
            <w:tcW w:w="1534" w:type="dxa"/>
            <w:vAlign w:val="center"/>
          </w:tcPr>
          <w:p>
            <w:pPr>
              <w:spacing w:line="240" w:lineRule="auto"/>
              <w:jc w:val="center"/>
              <w:rPr>
                <w:rFonts w:ascii="宋体" w:hAnsi="宋体"/>
                <w:b/>
                <w:color w:val="000000" w:themeColor="text1"/>
                <w:sz w:val="21"/>
                <w:szCs w:val="28"/>
                <w14:textFill>
                  <w14:solidFill>
                    <w14:schemeClr w14:val="tx1"/>
                  </w14:solidFill>
                </w14:textFill>
              </w:rPr>
            </w:pPr>
            <w:r>
              <w:rPr>
                <w:rFonts w:hint="eastAsia" w:ascii="宋体" w:hAnsi="宋体"/>
                <w:b/>
                <w:color w:val="000000" w:themeColor="text1"/>
                <w:sz w:val="21"/>
                <w:szCs w:val="28"/>
                <w14:textFill>
                  <w14:solidFill>
                    <w14:schemeClr w14:val="tx1"/>
                  </w14:solidFill>
                </w14:textFill>
              </w:rPr>
              <w:t>服务供应商应提交的技术文件</w:t>
            </w:r>
          </w:p>
        </w:tc>
        <w:tc>
          <w:tcPr>
            <w:tcW w:w="6969" w:type="dxa"/>
            <w:vAlign w:val="center"/>
          </w:tcPr>
          <w:p>
            <w:pPr>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其中加*项目若有缺失或无效，将可能导致投标被拒绝且不允许在开标后补正：</w:t>
            </w:r>
          </w:p>
          <w:p>
            <w:pPr>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1、*开标一览表；(必须单独密封提交) </w:t>
            </w:r>
          </w:p>
          <w:p>
            <w:pPr>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2、*根据采购文件第五部分列出的技术指标和性能要求制作逐项应答表并如实列出服务存在的偏离； </w:t>
            </w:r>
          </w:p>
          <w:p>
            <w:pPr>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3、完整的项目管理方案；</w:t>
            </w:r>
          </w:p>
          <w:p>
            <w:pPr>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4、服务要求的应答；</w:t>
            </w:r>
          </w:p>
          <w:p>
            <w:pPr>
              <w:ind w:firstLine="420" w:firstLineChars="200"/>
              <w:rPr>
                <w:color w:val="000000" w:themeColor="text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5、采购文件要求和服务供应商认为需要提供的其它说明和资料。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500" w:type="dxa"/>
            <w:vAlign w:val="center"/>
          </w:tcPr>
          <w:p>
            <w:pPr>
              <w:spacing w:line="240" w:lineRule="auto"/>
              <w:jc w:val="center"/>
              <w:rPr>
                <w:rFonts w:ascii="宋体" w:hAnsi="宋体"/>
                <w:b/>
                <w:color w:val="000000" w:themeColor="text1"/>
                <w:sz w:val="21"/>
                <w:szCs w:val="28"/>
                <w14:textFill>
                  <w14:solidFill>
                    <w14:schemeClr w14:val="tx1"/>
                  </w14:solidFill>
                </w14:textFill>
              </w:rPr>
            </w:pPr>
            <w:r>
              <w:rPr>
                <w:rFonts w:hint="eastAsia" w:ascii="宋体" w:hAnsi="宋体"/>
                <w:b/>
                <w:color w:val="000000" w:themeColor="text1"/>
                <w:sz w:val="21"/>
                <w:szCs w:val="28"/>
                <w14:textFill>
                  <w14:solidFill>
                    <w14:schemeClr w14:val="tx1"/>
                  </w14:solidFill>
                </w14:textFill>
              </w:rPr>
              <w:t>5</w:t>
            </w:r>
          </w:p>
        </w:tc>
        <w:tc>
          <w:tcPr>
            <w:tcW w:w="1534" w:type="dxa"/>
            <w:vAlign w:val="center"/>
          </w:tcPr>
          <w:p>
            <w:pPr>
              <w:spacing w:line="240" w:lineRule="auto"/>
              <w:jc w:val="center"/>
              <w:rPr>
                <w:rFonts w:ascii="宋体" w:hAnsi="宋体"/>
                <w:b/>
                <w:color w:val="000000" w:themeColor="text1"/>
                <w:sz w:val="21"/>
                <w:szCs w:val="28"/>
                <w14:textFill>
                  <w14:solidFill>
                    <w14:schemeClr w14:val="tx1"/>
                  </w14:solidFill>
                </w14:textFill>
              </w:rPr>
            </w:pPr>
            <w:r>
              <w:rPr>
                <w:rFonts w:hint="eastAsia" w:ascii="宋体" w:hAnsi="宋体"/>
                <w:b/>
                <w:color w:val="000000" w:themeColor="text1"/>
                <w:sz w:val="21"/>
                <w:szCs w:val="28"/>
                <w14:textFill>
                  <w14:solidFill>
                    <w14:schemeClr w14:val="tx1"/>
                  </w14:solidFill>
                </w14:textFill>
              </w:rPr>
              <w:t>签订合同</w:t>
            </w:r>
          </w:p>
        </w:tc>
        <w:tc>
          <w:tcPr>
            <w:tcW w:w="6969" w:type="dxa"/>
            <w:vAlign w:val="center"/>
          </w:tcPr>
          <w:p>
            <w:pPr>
              <w:spacing w:line="24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采购候选人与采购方直接签订采购合同。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500" w:type="dxa"/>
            <w:vAlign w:val="center"/>
          </w:tcPr>
          <w:p>
            <w:pPr>
              <w:spacing w:line="240" w:lineRule="auto"/>
              <w:jc w:val="center"/>
              <w:rPr>
                <w:rFonts w:ascii="宋体" w:hAnsi="宋体"/>
                <w:b/>
                <w:color w:val="000000" w:themeColor="text1"/>
                <w:sz w:val="21"/>
                <w:szCs w:val="28"/>
                <w14:textFill>
                  <w14:solidFill>
                    <w14:schemeClr w14:val="tx1"/>
                  </w14:solidFill>
                </w14:textFill>
              </w:rPr>
            </w:pPr>
            <w:r>
              <w:rPr>
                <w:rFonts w:hint="eastAsia" w:ascii="宋体" w:hAnsi="宋体"/>
                <w:b/>
                <w:color w:val="000000" w:themeColor="text1"/>
                <w:sz w:val="21"/>
                <w:szCs w:val="28"/>
                <w14:textFill>
                  <w14:solidFill>
                    <w14:schemeClr w14:val="tx1"/>
                  </w14:solidFill>
                </w14:textFill>
              </w:rPr>
              <w:t>6</w:t>
            </w:r>
          </w:p>
        </w:tc>
        <w:tc>
          <w:tcPr>
            <w:tcW w:w="1534" w:type="dxa"/>
            <w:vAlign w:val="center"/>
          </w:tcPr>
          <w:p>
            <w:pPr>
              <w:spacing w:line="240" w:lineRule="auto"/>
              <w:jc w:val="center"/>
              <w:rPr>
                <w:rFonts w:ascii="宋体" w:hAnsi="宋体"/>
                <w:b/>
                <w:color w:val="000000" w:themeColor="text1"/>
                <w:sz w:val="21"/>
                <w:szCs w:val="28"/>
                <w14:textFill>
                  <w14:solidFill>
                    <w14:schemeClr w14:val="tx1"/>
                  </w14:solidFill>
                </w14:textFill>
              </w:rPr>
            </w:pPr>
            <w:r>
              <w:rPr>
                <w:rFonts w:hint="eastAsia" w:ascii="宋体" w:hAnsi="宋体"/>
                <w:b/>
                <w:color w:val="000000" w:themeColor="text1"/>
                <w:sz w:val="21"/>
                <w:szCs w:val="28"/>
                <w14:textFill>
                  <w14:solidFill>
                    <w14:schemeClr w14:val="tx1"/>
                  </w14:solidFill>
                </w14:textFill>
              </w:rPr>
              <w:t>履约保证金</w:t>
            </w:r>
          </w:p>
        </w:tc>
        <w:tc>
          <w:tcPr>
            <w:tcW w:w="6969" w:type="dxa"/>
            <w:vAlign w:val="center"/>
          </w:tcPr>
          <w:p>
            <w:pPr>
              <w:pStyle w:val="93"/>
              <w:keepNext w:val="0"/>
              <w:keepLines w:val="0"/>
              <w:numPr>
                <w:ilvl w:val="0"/>
                <w:numId w:val="0"/>
              </w:numPr>
              <w:spacing w:before="0" w:after="0"/>
              <w:ind w:left="422" w:leftChars="176"/>
              <w:jc w:val="both"/>
              <w:rPr>
                <w:rFonts w:ascii="宋体" w:hAnsi="宋体"/>
                <w:b w:val="0"/>
                <w:color w:val="000000" w:themeColor="text1"/>
                <w:szCs w:val="28"/>
                <w14:textFill>
                  <w14:solidFill>
                    <w14:schemeClr w14:val="tx1"/>
                  </w14:solidFill>
                </w14:textFill>
              </w:rPr>
            </w:pPr>
            <w:r>
              <w:rPr>
                <w:rFonts w:hint="eastAsia" w:ascii="宋体" w:hAnsi="宋体"/>
                <w:b w:val="0"/>
                <w:color w:val="000000" w:themeColor="text1"/>
                <w:szCs w:val="21"/>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500" w:type="dxa"/>
            <w:vAlign w:val="center"/>
          </w:tcPr>
          <w:p>
            <w:pPr>
              <w:spacing w:line="240" w:lineRule="auto"/>
              <w:jc w:val="center"/>
              <w:rPr>
                <w:rFonts w:ascii="宋体" w:hAnsi="宋体"/>
                <w:b/>
                <w:color w:val="000000" w:themeColor="text1"/>
                <w:sz w:val="21"/>
                <w:szCs w:val="28"/>
                <w14:textFill>
                  <w14:solidFill>
                    <w14:schemeClr w14:val="tx1"/>
                  </w14:solidFill>
                </w14:textFill>
              </w:rPr>
            </w:pPr>
            <w:r>
              <w:rPr>
                <w:rFonts w:hint="eastAsia" w:ascii="宋体" w:hAnsi="宋体"/>
                <w:b/>
                <w:color w:val="000000" w:themeColor="text1"/>
                <w:sz w:val="21"/>
                <w:szCs w:val="28"/>
                <w14:textFill>
                  <w14:solidFill>
                    <w14:schemeClr w14:val="tx1"/>
                  </w14:solidFill>
                </w14:textFill>
              </w:rPr>
              <w:t>7</w:t>
            </w:r>
          </w:p>
        </w:tc>
        <w:tc>
          <w:tcPr>
            <w:tcW w:w="1534" w:type="dxa"/>
            <w:vAlign w:val="center"/>
          </w:tcPr>
          <w:p>
            <w:pPr>
              <w:spacing w:line="240" w:lineRule="auto"/>
              <w:jc w:val="center"/>
              <w:rPr>
                <w:rFonts w:ascii="宋体" w:hAnsi="宋体"/>
                <w:b/>
                <w:color w:val="000000" w:themeColor="text1"/>
                <w:sz w:val="21"/>
                <w:szCs w:val="28"/>
                <w14:textFill>
                  <w14:solidFill>
                    <w14:schemeClr w14:val="tx1"/>
                  </w14:solidFill>
                </w14:textFill>
              </w:rPr>
            </w:pPr>
            <w:r>
              <w:rPr>
                <w:rFonts w:hint="eastAsia" w:ascii="宋体" w:hAnsi="宋体"/>
                <w:b/>
                <w:color w:val="000000" w:themeColor="text1"/>
                <w:sz w:val="21"/>
                <w:szCs w:val="28"/>
                <w14:textFill>
                  <w14:solidFill>
                    <w14:schemeClr w14:val="tx1"/>
                  </w14:solidFill>
                </w14:textFill>
              </w:rPr>
              <w:t>支付方式</w:t>
            </w:r>
          </w:p>
        </w:tc>
        <w:tc>
          <w:tcPr>
            <w:tcW w:w="6969" w:type="dxa"/>
            <w:vAlign w:val="center"/>
          </w:tcPr>
          <w:p>
            <w:pPr>
              <w:spacing w:line="240" w:lineRule="auto"/>
              <w:ind w:left="480"/>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详见本采购文件第六部分中第四条的要求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8" w:hRule="atLeast"/>
        </w:trPr>
        <w:tc>
          <w:tcPr>
            <w:tcW w:w="500" w:type="dxa"/>
            <w:vAlign w:val="center"/>
          </w:tcPr>
          <w:p>
            <w:pPr>
              <w:spacing w:line="240" w:lineRule="auto"/>
              <w:jc w:val="center"/>
              <w:rPr>
                <w:rFonts w:ascii="宋体" w:hAnsi="宋体"/>
                <w:b/>
                <w:color w:val="000000" w:themeColor="text1"/>
                <w:sz w:val="21"/>
                <w:szCs w:val="28"/>
                <w14:textFill>
                  <w14:solidFill>
                    <w14:schemeClr w14:val="tx1"/>
                  </w14:solidFill>
                </w14:textFill>
              </w:rPr>
            </w:pPr>
            <w:r>
              <w:rPr>
                <w:rFonts w:hint="eastAsia" w:ascii="宋体" w:hAnsi="宋体"/>
                <w:b/>
                <w:color w:val="000000" w:themeColor="text1"/>
                <w:sz w:val="21"/>
                <w:szCs w:val="28"/>
                <w14:textFill>
                  <w14:solidFill>
                    <w14:schemeClr w14:val="tx1"/>
                  </w14:solidFill>
                </w14:textFill>
              </w:rPr>
              <w:t>8</w:t>
            </w:r>
          </w:p>
        </w:tc>
        <w:tc>
          <w:tcPr>
            <w:tcW w:w="1534" w:type="dxa"/>
            <w:vAlign w:val="center"/>
          </w:tcPr>
          <w:p>
            <w:pPr>
              <w:spacing w:line="240" w:lineRule="auto"/>
              <w:jc w:val="center"/>
              <w:rPr>
                <w:rFonts w:ascii="宋体" w:hAnsi="宋体"/>
                <w:b/>
                <w:color w:val="000000" w:themeColor="text1"/>
                <w:sz w:val="21"/>
                <w:szCs w:val="28"/>
                <w14:textFill>
                  <w14:solidFill>
                    <w14:schemeClr w14:val="tx1"/>
                  </w14:solidFill>
                </w14:textFill>
              </w:rPr>
            </w:pPr>
            <w:r>
              <w:rPr>
                <w:rFonts w:hint="eastAsia" w:ascii="宋体" w:hAnsi="宋体"/>
                <w:b/>
                <w:color w:val="000000" w:themeColor="text1"/>
                <w:sz w:val="21"/>
                <w:szCs w:val="28"/>
                <w14:textFill>
                  <w14:solidFill>
                    <w14:schemeClr w14:val="tx1"/>
                  </w14:solidFill>
                </w14:textFill>
              </w:rPr>
              <w:t>采购文件份数</w:t>
            </w:r>
          </w:p>
        </w:tc>
        <w:tc>
          <w:tcPr>
            <w:tcW w:w="6969" w:type="dxa"/>
            <w:vAlign w:val="center"/>
          </w:tcPr>
          <w:p>
            <w:pPr>
              <w:spacing w:line="240" w:lineRule="auto"/>
              <w:ind w:left="48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采购文件一式3份，其中正本1份，副本2份，电子文档1份，开标一览表需正本1份单独密封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8" w:hRule="atLeast"/>
        </w:trPr>
        <w:tc>
          <w:tcPr>
            <w:tcW w:w="500" w:type="dxa"/>
            <w:vAlign w:val="center"/>
          </w:tcPr>
          <w:p>
            <w:pPr>
              <w:spacing w:line="240" w:lineRule="auto"/>
              <w:jc w:val="center"/>
              <w:rPr>
                <w:rFonts w:ascii="宋体" w:hAnsi="宋体"/>
                <w:b/>
                <w:color w:val="000000" w:themeColor="text1"/>
                <w:sz w:val="21"/>
                <w:szCs w:val="28"/>
                <w14:textFill>
                  <w14:solidFill>
                    <w14:schemeClr w14:val="tx1"/>
                  </w14:solidFill>
                </w14:textFill>
              </w:rPr>
            </w:pPr>
            <w:bookmarkStart w:id="20" w:name="_Toc87373371"/>
            <w:bookmarkStart w:id="21" w:name="_Toc87373470"/>
            <w:bookmarkStart w:id="22" w:name="_Toc87810223"/>
            <w:bookmarkStart w:id="23" w:name="_Toc99718119"/>
            <w:bookmarkStart w:id="24" w:name="_Toc99881734"/>
            <w:bookmarkStart w:id="25" w:name="_Toc108276717"/>
            <w:bookmarkStart w:id="26" w:name="_Toc86202581"/>
            <w:r>
              <w:rPr>
                <w:rFonts w:hint="eastAsia" w:ascii="宋体" w:hAnsi="宋体"/>
                <w:b/>
                <w:color w:val="000000" w:themeColor="text1"/>
                <w:sz w:val="21"/>
                <w:szCs w:val="28"/>
                <w14:textFill>
                  <w14:solidFill>
                    <w14:schemeClr w14:val="tx1"/>
                  </w14:solidFill>
                </w14:textFill>
              </w:rPr>
              <w:t>9</w:t>
            </w:r>
          </w:p>
        </w:tc>
        <w:tc>
          <w:tcPr>
            <w:tcW w:w="1534" w:type="dxa"/>
            <w:vAlign w:val="center"/>
          </w:tcPr>
          <w:p>
            <w:pPr>
              <w:spacing w:line="240" w:lineRule="auto"/>
              <w:jc w:val="center"/>
              <w:rPr>
                <w:rFonts w:ascii="宋体" w:hAnsi="宋体"/>
                <w:b/>
                <w:color w:val="000000" w:themeColor="text1"/>
                <w:sz w:val="21"/>
                <w:szCs w:val="28"/>
                <w14:textFill>
                  <w14:solidFill>
                    <w14:schemeClr w14:val="tx1"/>
                  </w14:solidFill>
                </w14:textFill>
              </w:rPr>
            </w:pPr>
            <w:r>
              <w:rPr>
                <w:rFonts w:hint="eastAsia" w:ascii="宋体" w:hAnsi="宋体"/>
                <w:b/>
                <w:color w:val="000000" w:themeColor="text1"/>
                <w:sz w:val="21"/>
                <w:szCs w:val="28"/>
                <w14:textFill>
                  <w14:solidFill>
                    <w14:schemeClr w14:val="tx1"/>
                  </w14:solidFill>
                </w14:textFill>
              </w:rPr>
              <w:t>其他事项</w:t>
            </w:r>
          </w:p>
        </w:tc>
        <w:tc>
          <w:tcPr>
            <w:tcW w:w="6969" w:type="dxa"/>
            <w:vAlign w:val="center"/>
          </w:tcPr>
          <w:p>
            <w:pPr>
              <w:spacing w:line="240" w:lineRule="auto"/>
              <w:ind w:left="48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本项目预算人民币</w:t>
            </w:r>
            <w:r>
              <w:rPr>
                <w:rFonts w:hint="eastAsia" w:ascii="宋体" w:hAnsi="宋体"/>
                <w:color w:val="000000" w:themeColor="text1"/>
                <w:sz w:val="21"/>
                <w:szCs w:val="21"/>
                <w:u w:val="single"/>
                <w14:textFill>
                  <w14:solidFill>
                    <w14:schemeClr w14:val="tx1"/>
                  </w14:solidFill>
                </w14:textFill>
              </w:rPr>
              <w:t xml:space="preserve">   36  </w:t>
            </w:r>
            <w:r>
              <w:rPr>
                <w:rFonts w:hint="eastAsia" w:ascii="宋体" w:hAnsi="宋体"/>
                <w:color w:val="000000" w:themeColor="text1"/>
                <w:sz w:val="21"/>
                <w:szCs w:val="21"/>
                <w14:textFill>
                  <w14:solidFill>
                    <w14:schemeClr w14:val="tx1"/>
                  </w14:solidFill>
                </w14:textFill>
              </w:rPr>
              <w:t>万元</w:t>
            </w:r>
          </w:p>
        </w:tc>
      </w:tr>
    </w:tbl>
    <w:p>
      <w:pPr>
        <w:pStyle w:val="77"/>
        <w:numPr>
          <w:ilvl w:val="0"/>
          <w:numId w:val="0"/>
        </w:numPr>
        <w:sectPr>
          <w:headerReference r:id="rId5" w:type="default"/>
          <w:pgSz w:w="11906" w:h="16838"/>
          <w:pgMar w:top="1440" w:right="1080" w:bottom="1440" w:left="1080" w:header="851" w:footer="851" w:gutter="0"/>
          <w:cols w:space="720" w:num="1"/>
          <w:docGrid w:linePitch="312" w:charSpace="0"/>
        </w:sectPr>
      </w:pPr>
    </w:p>
    <w:p>
      <w:pPr>
        <w:pStyle w:val="77"/>
        <w:numPr>
          <w:ilvl w:val="0"/>
          <w:numId w:val="0"/>
        </w:numPr>
        <w:rPr>
          <w:rFonts w:ascii="宋体" w:hAnsi="宋体"/>
          <w:sz w:val="21"/>
          <w:szCs w:val="21"/>
        </w:rPr>
      </w:pPr>
      <w:bookmarkStart w:id="27" w:name="_Toc522963608"/>
      <w:r>
        <w:rPr>
          <w:rFonts w:hint="eastAsia"/>
        </w:rPr>
        <w:t>第三部分</w:t>
      </w:r>
      <w:r>
        <w:t xml:space="preserve"> </w:t>
      </w:r>
      <w:r>
        <w:rPr>
          <w:rFonts w:hint="eastAsia"/>
        </w:rPr>
        <w:t>服务供应商须知</w:t>
      </w:r>
      <w:bookmarkEnd w:id="20"/>
      <w:bookmarkEnd w:id="21"/>
      <w:bookmarkEnd w:id="22"/>
      <w:bookmarkEnd w:id="23"/>
      <w:bookmarkEnd w:id="24"/>
      <w:bookmarkEnd w:id="25"/>
      <w:bookmarkEnd w:id="27"/>
    </w:p>
    <w:p>
      <w:pPr>
        <w:pStyle w:val="125"/>
        <w:numPr>
          <w:ilvl w:val="0"/>
          <w:numId w:val="0"/>
        </w:numPr>
        <w:spacing w:after="120" w:afterLines="50"/>
        <w:textAlignment w:val="auto"/>
        <w:rPr>
          <w:color w:val="auto"/>
        </w:rPr>
      </w:pPr>
      <w:bookmarkStart w:id="28" w:name="_Toc87373372"/>
      <w:bookmarkStart w:id="29" w:name="_Toc99881735"/>
      <w:bookmarkStart w:id="30" w:name="_Toc116879919"/>
      <w:bookmarkStart w:id="31" w:name="_Toc87373471"/>
      <w:bookmarkStart w:id="32" w:name="_Toc87810224"/>
      <w:bookmarkStart w:id="33" w:name="_Toc108276718"/>
      <w:bookmarkStart w:id="34" w:name="_Toc99718120"/>
      <w:r>
        <w:rPr>
          <w:rFonts w:hint="eastAsia"/>
          <w:b w:val="0"/>
          <w:bCs w:val="0"/>
          <w:color w:val="auto"/>
        </w:rPr>
        <w:t>一、</w:t>
      </w:r>
      <w:r>
        <w:rPr>
          <w:rFonts w:hint="eastAsia"/>
          <w:color w:val="auto"/>
        </w:rPr>
        <w:t xml:space="preserve"> 总则</w:t>
      </w:r>
      <w:bookmarkEnd w:id="28"/>
      <w:bookmarkEnd w:id="29"/>
      <w:bookmarkEnd w:id="30"/>
      <w:bookmarkEnd w:id="31"/>
      <w:bookmarkEnd w:id="32"/>
      <w:bookmarkEnd w:id="33"/>
      <w:bookmarkEnd w:id="34"/>
    </w:p>
    <w:p>
      <w:pPr>
        <w:spacing w:line="300" w:lineRule="auto"/>
      </w:pPr>
      <w:r>
        <w:rPr>
          <w:rFonts w:hint="eastAsia"/>
        </w:rPr>
        <w:t>本采购文件适用于本文件第五部分中所述货物及相关服务的采购投标。</w:t>
      </w:r>
    </w:p>
    <w:p>
      <w:pPr>
        <w:pStyle w:val="102"/>
        <w:numPr>
          <w:ilvl w:val="0"/>
          <w:numId w:val="0"/>
        </w:numPr>
        <w:spacing w:line="300" w:lineRule="auto"/>
        <w:ind w:left="709" w:hanging="709"/>
        <w:textAlignment w:val="auto"/>
      </w:pPr>
      <w:r>
        <w:rPr>
          <w:rFonts w:hint="eastAsia"/>
        </w:rPr>
        <w:t>1.定义：</w:t>
      </w:r>
    </w:p>
    <w:p>
      <w:pPr>
        <w:pStyle w:val="102"/>
        <w:numPr>
          <w:ilvl w:val="0"/>
          <w:numId w:val="0"/>
        </w:numPr>
        <w:tabs>
          <w:tab w:val="left" w:pos="420"/>
        </w:tabs>
        <w:spacing w:line="300" w:lineRule="auto"/>
      </w:pPr>
      <w:r>
        <w:rPr>
          <w:rFonts w:hint="eastAsia"/>
        </w:rPr>
        <w:t>1.1 “采购人”名称详见服务供应商须知前附表第</w:t>
      </w:r>
      <w:r>
        <w:rPr>
          <w:rFonts w:hint="eastAsia"/>
          <w:u w:val="single"/>
        </w:rPr>
        <w:t>1</w:t>
      </w:r>
      <w:r>
        <w:rPr>
          <w:rFonts w:hint="eastAsia"/>
        </w:rPr>
        <w:t>条。</w:t>
      </w:r>
    </w:p>
    <w:p>
      <w:pPr>
        <w:pStyle w:val="102"/>
        <w:numPr>
          <w:ilvl w:val="0"/>
          <w:numId w:val="0"/>
        </w:numPr>
        <w:tabs>
          <w:tab w:val="left" w:pos="420"/>
        </w:tabs>
        <w:spacing w:line="300" w:lineRule="auto"/>
      </w:pPr>
      <w:r>
        <w:rPr>
          <w:rFonts w:hint="eastAsia"/>
        </w:rPr>
        <w:t>1.2 “采购货物”指本采购文件中第五部分所述所有货物及相关服务。</w:t>
      </w:r>
    </w:p>
    <w:p>
      <w:pPr>
        <w:pStyle w:val="102"/>
        <w:numPr>
          <w:ilvl w:val="0"/>
          <w:numId w:val="0"/>
        </w:numPr>
        <w:tabs>
          <w:tab w:val="left" w:pos="420"/>
        </w:tabs>
        <w:spacing w:line="300" w:lineRule="auto"/>
      </w:pPr>
      <w:r>
        <w:rPr>
          <w:rFonts w:hint="eastAsia"/>
        </w:rPr>
        <w:t>1.3 “潜在服务供应商”指符合采购文件规定的合格供应商。</w:t>
      </w:r>
    </w:p>
    <w:p>
      <w:pPr>
        <w:pStyle w:val="102"/>
        <w:numPr>
          <w:ilvl w:val="0"/>
          <w:numId w:val="0"/>
        </w:numPr>
        <w:tabs>
          <w:tab w:val="left" w:pos="420"/>
        </w:tabs>
        <w:spacing w:line="300" w:lineRule="auto"/>
      </w:pPr>
      <w:r>
        <w:rPr>
          <w:rFonts w:hint="eastAsia"/>
        </w:rPr>
        <w:t>1.4 “服务供应商”指符合本文件规定并参加投标的供应商。</w:t>
      </w:r>
    </w:p>
    <w:p>
      <w:pPr>
        <w:pStyle w:val="102"/>
        <w:numPr>
          <w:ilvl w:val="0"/>
          <w:numId w:val="0"/>
        </w:numPr>
        <w:tabs>
          <w:tab w:val="left" w:pos="420"/>
        </w:tabs>
        <w:spacing w:line="300" w:lineRule="auto"/>
      </w:pPr>
      <w:r>
        <w:rPr>
          <w:rFonts w:hint="eastAsia"/>
        </w:rPr>
        <w:t>2.合格服务供应商的条件</w:t>
      </w:r>
    </w:p>
    <w:p>
      <w:pPr>
        <w:pStyle w:val="102"/>
        <w:numPr>
          <w:ilvl w:val="0"/>
          <w:numId w:val="0"/>
        </w:numPr>
        <w:spacing w:line="400" w:lineRule="exact"/>
      </w:pPr>
      <w:r>
        <w:rPr>
          <w:rFonts w:hint="eastAsia"/>
        </w:rPr>
        <w:t>2.1 具有本项目生产、制造、供应或实施能力，</w:t>
      </w:r>
      <w:r>
        <w:rPr>
          <w:rFonts w:hint="eastAsia"/>
          <w:bCs/>
        </w:rPr>
        <w:t>符合、承认并承诺履行本采购文件各项规定的国内供应商均可参加投标。</w:t>
      </w:r>
    </w:p>
    <w:p>
      <w:pPr>
        <w:pStyle w:val="102"/>
        <w:numPr>
          <w:ilvl w:val="0"/>
          <w:numId w:val="0"/>
        </w:numPr>
        <w:spacing w:line="400" w:lineRule="exact"/>
      </w:pPr>
      <w:r>
        <w:rPr>
          <w:rFonts w:hint="eastAsia"/>
        </w:rPr>
        <w:t>2.2服务供应商应遵守有关的国家法律、法规和条例，具备《中华人民共和国政府采购法》和本文件中规定的条件：</w:t>
      </w:r>
    </w:p>
    <w:p>
      <w:pPr>
        <w:numPr>
          <w:ilvl w:val="0"/>
          <w:numId w:val="14"/>
        </w:numPr>
        <w:spacing w:line="400" w:lineRule="exact"/>
        <w:rPr>
          <w:rFonts w:ascii="宋体" w:hAnsi="宋体"/>
          <w:sz w:val="21"/>
          <w:szCs w:val="21"/>
        </w:rPr>
      </w:pPr>
      <w:r>
        <w:rPr>
          <w:rFonts w:hint="eastAsia" w:ascii="宋体" w:hAnsi="宋体"/>
          <w:sz w:val="21"/>
          <w:szCs w:val="21"/>
        </w:rPr>
        <w:t>具有独立承担民事责任的能力</w:t>
      </w:r>
      <w:r>
        <w:rPr>
          <w:rFonts w:hint="eastAsia"/>
          <w:sz w:val="21"/>
          <w:szCs w:val="21"/>
        </w:rPr>
        <w:t>(若允许分公司参加的情形除外)</w:t>
      </w:r>
      <w:r>
        <w:rPr>
          <w:rFonts w:hint="eastAsia" w:ascii="宋体" w:hAnsi="宋体"/>
          <w:sz w:val="21"/>
          <w:szCs w:val="21"/>
        </w:rPr>
        <w:t>；</w:t>
      </w:r>
    </w:p>
    <w:p>
      <w:pPr>
        <w:numPr>
          <w:ilvl w:val="0"/>
          <w:numId w:val="14"/>
        </w:numPr>
        <w:spacing w:line="400" w:lineRule="exact"/>
        <w:rPr>
          <w:rFonts w:ascii="宋体" w:hAnsi="宋体"/>
          <w:sz w:val="21"/>
          <w:szCs w:val="21"/>
        </w:rPr>
      </w:pPr>
      <w:r>
        <w:rPr>
          <w:rFonts w:hint="eastAsia" w:ascii="宋体" w:hAnsi="宋体"/>
          <w:sz w:val="21"/>
          <w:szCs w:val="21"/>
        </w:rPr>
        <w:t>具有良好的商业信誉和健全的财务会计制度；</w:t>
      </w:r>
    </w:p>
    <w:p>
      <w:pPr>
        <w:numPr>
          <w:ilvl w:val="0"/>
          <w:numId w:val="14"/>
        </w:numPr>
        <w:spacing w:line="400" w:lineRule="exact"/>
        <w:rPr>
          <w:rFonts w:ascii="宋体" w:hAnsi="宋体"/>
          <w:sz w:val="21"/>
          <w:szCs w:val="21"/>
        </w:rPr>
      </w:pPr>
      <w:r>
        <w:rPr>
          <w:rFonts w:hint="eastAsia" w:ascii="宋体" w:hAnsi="宋体"/>
          <w:sz w:val="21"/>
          <w:szCs w:val="21"/>
        </w:rPr>
        <w:t>具有履行合同所必需的设备和专业技术能力；</w:t>
      </w:r>
    </w:p>
    <w:p>
      <w:pPr>
        <w:pStyle w:val="102"/>
        <w:numPr>
          <w:ilvl w:val="0"/>
          <w:numId w:val="0"/>
        </w:numPr>
        <w:spacing w:line="400" w:lineRule="exact"/>
        <w:ind w:left="315" w:hanging="315" w:hangingChars="150"/>
      </w:pPr>
      <w:r>
        <w:rPr>
          <w:rFonts w:hint="eastAsia"/>
        </w:rPr>
        <w:t>2.3服务供应商必须是已在中国境内依法登记注册并仍有效存续的供应商，并且其所持有的由工商行政管理局所核发的有效的营业执照上所载明的营业期限余额应当不少于本次采购的相关合同基本义务履行所需期限。否则，采购人/谈判人/采购人有权视情况决定是否拒绝其本次投标/报价。</w:t>
      </w:r>
    </w:p>
    <w:p>
      <w:pPr>
        <w:pStyle w:val="102"/>
        <w:numPr>
          <w:ilvl w:val="0"/>
          <w:numId w:val="0"/>
        </w:numPr>
        <w:spacing w:line="400" w:lineRule="exact"/>
      </w:pPr>
      <w:r>
        <w:rPr>
          <w:rFonts w:hint="eastAsia"/>
        </w:rPr>
        <w:t>2.4如服务供应商代表不是法定代表人，须持有《法定代表人授权委托书》</w:t>
      </w:r>
      <w:r>
        <w:t xml:space="preserve">( </w:t>
      </w:r>
      <w:r>
        <w:rPr>
          <w:rFonts w:hint="eastAsia"/>
        </w:rPr>
        <w:t>按采购文件格式填写</w:t>
      </w:r>
      <w:r>
        <w:t>)</w:t>
      </w:r>
      <w:r>
        <w:rPr>
          <w:rFonts w:hint="eastAsia"/>
        </w:rPr>
        <w:t>。</w:t>
      </w:r>
    </w:p>
    <w:p>
      <w:pPr>
        <w:pStyle w:val="102"/>
        <w:numPr>
          <w:ilvl w:val="0"/>
          <w:numId w:val="0"/>
        </w:numPr>
        <w:spacing w:line="400" w:lineRule="exact"/>
        <w:ind w:left="709" w:hanging="709"/>
        <w:textAlignment w:val="auto"/>
      </w:pPr>
      <w:r>
        <w:rPr>
          <w:rFonts w:hint="eastAsia"/>
        </w:rPr>
        <w:t>3.投标费用</w:t>
      </w:r>
    </w:p>
    <w:p>
      <w:pPr>
        <w:pStyle w:val="102"/>
        <w:numPr>
          <w:ilvl w:val="0"/>
          <w:numId w:val="0"/>
        </w:numPr>
        <w:spacing w:line="400" w:lineRule="exact"/>
        <w:textAlignment w:val="auto"/>
      </w:pPr>
      <w:r>
        <w:rPr>
          <w:rFonts w:hint="eastAsia"/>
        </w:rPr>
        <w:t>3.1服务供应商应承担所有与准备和参加投标有关的费用，采购人在任何情况下均无义务和责任承担这些费用。</w:t>
      </w:r>
    </w:p>
    <w:p>
      <w:pPr>
        <w:pStyle w:val="102"/>
        <w:numPr>
          <w:ilvl w:val="0"/>
          <w:numId w:val="0"/>
        </w:numPr>
        <w:tabs>
          <w:tab w:val="left" w:pos="420"/>
        </w:tabs>
        <w:ind w:left="709" w:hanging="709"/>
      </w:pPr>
      <w:r>
        <w:rPr>
          <w:rFonts w:hint="eastAsia"/>
        </w:rPr>
        <w:t>4.通知</w:t>
      </w:r>
    </w:p>
    <w:p>
      <w:pPr>
        <w:pStyle w:val="102"/>
        <w:numPr>
          <w:ilvl w:val="0"/>
          <w:numId w:val="0"/>
        </w:numPr>
        <w:tabs>
          <w:tab w:val="left" w:pos="420"/>
        </w:tabs>
        <w:spacing w:line="360" w:lineRule="auto"/>
        <w:ind w:left="315" w:hanging="315" w:hangingChars="150"/>
      </w:pPr>
      <w:r>
        <w:rPr>
          <w:rFonts w:hint="eastAsia"/>
        </w:rPr>
        <w:t>4.1</w:t>
      </w:r>
      <w:r>
        <w:rPr>
          <w:rFonts w:hint="eastAsia"/>
        </w:rPr>
        <w:tab/>
      </w:r>
      <w:r>
        <w:rPr>
          <w:rFonts w:hint="eastAsia"/>
        </w:rPr>
        <w:t>对与本项目有关的通知，采购人将以书面（包括书面材料、信函、传真等，下同）或在本次采购公告刊登的媒体上发布公告的形式，向潜在服务供应商发出，传真和手机号码以潜在服务供应商的登记为准。收到通知的服务供应商应以书面方式立即予以回复确认，但服务供应商未回复或采购人未收到回复时，并不应当被理解为采购人知道、应当知道或不应当被理解为采购人应当推定服务供应商是否收到通知。因登记有误、传真线路故障或其它任何意外情形，导致所发出的通知延迟送达或无法到达服务供应商，除非有适当的证据表明采购人已经明知该项应当通知的事项并未实际有效到达且采购人认为仍有条件和必要及时地再次补发通知而故意拖延或不予补发通知，采购人不因此承担任何责任，有关的采购活动可以继续有效地进行。</w:t>
      </w:r>
    </w:p>
    <w:p>
      <w:pPr>
        <w:pStyle w:val="125"/>
        <w:numPr>
          <w:ilvl w:val="0"/>
          <w:numId w:val="0"/>
        </w:numPr>
        <w:tabs>
          <w:tab w:val="left" w:pos="420"/>
        </w:tabs>
        <w:textAlignment w:val="auto"/>
        <w:rPr>
          <w:color w:val="auto"/>
        </w:rPr>
      </w:pPr>
      <w:bookmarkStart w:id="35" w:name="_Toc108276719"/>
      <w:bookmarkStart w:id="36" w:name="_Toc87373472"/>
      <w:bookmarkStart w:id="37" w:name="_Toc99881736"/>
      <w:bookmarkStart w:id="38" w:name="_Toc99718121"/>
      <w:bookmarkStart w:id="39" w:name="_Toc116879920"/>
      <w:bookmarkStart w:id="40" w:name="_Toc87373373"/>
      <w:bookmarkStart w:id="41" w:name="_Toc87810225"/>
      <w:r>
        <w:rPr>
          <w:rFonts w:hint="eastAsia"/>
          <w:color w:val="auto"/>
        </w:rPr>
        <w:t>二、 采购文件</w:t>
      </w:r>
      <w:bookmarkEnd w:id="35"/>
      <w:bookmarkEnd w:id="36"/>
      <w:bookmarkEnd w:id="37"/>
      <w:bookmarkEnd w:id="38"/>
      <w:bookmarkEnd w:id="39"/>
      <w:bookmarkEnd w:id="40"/>
      <w:bookmarkEnd w:id="41"/>
    </w:p>
    <w:p>
      <w:pPr>
        <w:pStyle w:val="102"/>
        <w:numPr>
          <w:ilvl w:val="0"/>
          <w:numId w:val="15"/>
        </w:numPr>
        <w:tabs>
          <w:tab w:val="clear" w:pos="709"/>
        </w:tabs>
        <w:spacing w:line="400" w:lineRule="exact"/>
        <w:textAlignment w:val="auto"/>
      </w:pPr>
      <w:r>
        <w:rPr>
          <w:rFonts w:hint="eastAsia"/>
        </w:rPr>
        <w:t>采购文件</w:t>
      </w:r>
    </w:p>
    <w:p>
      <w:pPr>
        <w:pStyle w:val="102"/>
        <w:numPr>
          <w:ilvl w:val="0"/>
          <w:numId w:val="0"/>
        </w:numPr>
        <w:spacing w:line="400" w:lineRule="exact"/>
        <w:textAlignment w:val="auto"/>
      </w:pPr>
      <w:r>
        <w:rPr>
          <w:rFonts w:hint="eastAsia"/>
        </w:rPr>
        <w:t>1.1采购文件由下列八部分内容组成：</w:t>
      </w:r>
    </w:p>
    <w:p>
      <w:pPr>
        <w:spacing w:line="400" w:lineRule="exact"/>
        <w:ind w:firstLine="420" w:firstLineChars="200"/>
        <w:rPr>
          <w:rFonts w:ascii="宋体" w:hAnsi="宋体"/>
          <w:sz w:val="21"/>
          <w:szCs w:val="21"/>
        </w:rPr>
      </w:pPr>
      <w:r>
        <w:rPr>
          <w:rFonts w:hint="eastAsia" w:ascii="宋体" w:hAnsi="宋体"/>
          <w:sz w:val="21"/>
          <w:szCs w:val="21"/>
        </w:rPr>
        <w:t>第一部分 投标邀请；</w:t>
      </w:r>
    </w:p>
    <w:p>
      <w:pPr>
        <w:spacing w:line="400" w:lineRule="exact"/>
        <w:ind w:firstLine="420" w:firstLineChars="200"/>
        <w:rPr>
          <w:rFonts w:ascii="宋体" w:hAnsi="宋体"/>
          <w:sz w:val="21"/>
          <w:szCs w:val="21"/>
        </w:rPr>
      </w:pPr>
      <w:r>
        <w:rPr>
          <w:rFonts w:hint="eastAsia" w:ascii="宋体" w:hAnsi="宋体"/>
          <w:sz w:val="21"/>
          <w:szCs w:val="21"/>
        </w:rPr>
        <w:t>第二部分 服务供应商须知前附表；</w:t>
      </w:r>
    </w:p>
    <w:p>
      <w:pPr>
        <w:spacing w:line="400" w:lineRule="exact"/>
        <w:ind w:firstLine="420" w:firstLineChars="200"/>
        <w:rPr>
          <w:rFonts w:ascii="宋体" w:hAnsi="宋体"/>
          <w:sz w:val="21"/>
          <w:szCs w:val="21"/>
        </w:rPr>
      </w:pPr>
      <w:r>
        <w:rPr>
          <w:rFonts w:hint="eastAsia" w:ascii="宋体" w:hAnsi="宋体"/>
          <w:sz w:val="21"/>
          <w:szCs w:val="21"/>
        </w:rPr>
        <w:t>第三部分 服务供应商须知；</w:t>
      </w:r>
    </w:p>
    <w:p>
      <w:pPr>
        <w:spacing w:line="400" w:lineRule="exact"/>
        <w:ind w:firstLine="420" w:firstLineChars="200"/>
        <w:rPr>
          <w:rFonts w:ascii="宋体" w:hAnsi="宋体"/>
          <w:sz w:val="21"/>
          <w:szCs w:val="21"/>
        </w:rPr>
      </w:pPr>
      <w:r>
        <w:rPr>
          <w:rFonts w:hint="eastAsia" w:ascii="宋体" w:hAnsi="宋体"/>
          <w:sz w:val="21"/>
          <w:szCs w:val="21"/>
        </w:rPr>
        <w:t>第四部分 评标细则和评分方法；</w:t>
      </w:r>
    </w:p>
    <w:p>
      <w:pPr>
        <w:spacing w:line="400" w:lineRule="exact"/>
        <w:ind w:firstLine="420" w:firstLineChars="200"/>
        <w:rPr>
          <w:rFonts w:ascii="宋体" w:hAnsi="宋体"/>
          <w:sz w:val="21"/>
          <w:szCs w:val="21"/>
        </w:rPr>
      </w:pPr>
      <w:r>
        <w:rPr>
          <w:rFonts w:hint="eastAsia" w:ascii="宋体" w:hAnsi="宋体"/>
          <w:sz w:val="21"/>
          <w:szCs w:val="21"/>
        </w:rPr>
        <w:t>第五部分 采购货物清单、质量和供货要求；</w:t>
      </w:r>
    </w:p>
    <w:p>
      <w:pPr>
        <w:spacing w:line="400" w:lineRule="exact"/>
        <w:ind w:firstLine="420" w:firstLineChars="200"/>
        <w:rPr>
          <w:rFonts w:ascii="宋体" w:hAnsi="宋体"/>
          <w:sz w:val="21"/>
          <w:szCs w:val="21"/>
        </w:rPr>
      </w:pPr>
      <w:r>
        <w:rPr>
          <w:rFonts w:hint="eastAsia" w:ascii="宋体" w:hAnsi="宋体"/>
          <w:sz w:val="21"/>
          <w:szCs w:val="21"/>
        </w:rPr>
        <w:t>第六部分 中标合同；</w:t>
      </w:r>
    </w:p>
    <w:p>
      <w:pPr>
        <w:spacing w:line="400" w:lineRule="exact"/>
        <w:ind w:firstLine="420" w:firstLineChars="200"/>
        <w:rPr>
          <w:rFonts w:ascii="宋体" w:hAnsi="宋体"/>
          <w:sz w:val="21"/>
          <w:szCs w:val="21"/>
        </w:rPr>
      </w:pPr>
      <w:r>
        <w:rPr>
          <w:rFonts w:hint="eastAsia" w:ascii="宋体" w:hAnsi="宋体"/>
          <w:sz w:val="21"/>
          <w:szCs w:val="21"/>
        </w:rPr>
        <w:t>第七部分 采购文件格式。</w:t>
      </w:r>
    </w:p>
    <w:p>
      <w:pPr>
        <w:spacing w:line="400" w:lineRule="exact"/>
        <w:rPr>
          <w:rFonts w:ascii="宋体" w:hAnsi="宋体"/>
          <w:sz w:val="21"/>
          <w:szCs w:val="21"/>
        </w:rPr>
      </w:pPr>
      <w:r>
        <w:rPr>
          <w:rFonts w:hint="eastAsia" w:ascii="宋体" w:hAnsi="宋体"/>
          <w:sz w:val="21"/>
          <w:szCs w:val="21"/>
        </w:rPr>
        <w:t>7.</w:t>
      </w:r>
      <w:r>
        <w:rPr>
          <w:rFonts w:hint="eastAsia" w:ascii="宋体" w:hAnsi="宋体"/>
          <w:sz w:val="21"/>
          <w:szCs w:val="21"/>
        </w:rPr>
        <w:tab/>
      </w:r>
      <w:r>
        <w:rPr>
          <w:rFonts w:hint="eastAsia" w:ascii="宋体" w:hAnsi="宋体"/>
          <w:sz w:val="21"/>
          <w:szCs w:val="21"/>
        </w:rPr>
        <w:t>采购文件的澄清和修改</w:t>
      </w:r>
    </w:p>
    <w:p>
      <w:pPr>
        <w:spacing w:line="400" w:lineRule="exact"/>
        <w:ind w:left="420" w:hanging="420" w:hangingChars="200"/>
        <w:rPr>
          <w:rFonts w:ascii="宋体" w:hAnsi="宋体"/>
          <w:sz w:val="21"/>
          <w:szCs w:val="21"/>
        </w:rPr>
      </w:pPr>
      <w:r>
        <w:rPr>
          <w:rFonts w:hint="eastAsia" w:ascii="宋体" w:hAnsi="宋体"/>
          <w:sz w:val="21"/>
          <w:szCs w:val="21"/>
        </w:rPr>
        <w:t>7.1</w:t>
      </w:r>
      <w:r>
        <w:rPr>
          <w:rFonts w:hint="eastAsia" w:ascii="宋体" w:hAnsi="宋体"/>
          <w:sz w:val="21"/>
          <w:szCs w:val="21"/>
        </w:rPr>
        <w:tab/>
      </w:r>
      <w:r>
        <w:rPr>
          <w:rFonts w:hint="eastAsia" w:ascii="宋体" w:hAnsi="宋体"/>
          <w:sz w:val="21"/>
          <w:szCs w:val="21"/>
        </w:rPr>
        <w:t>任何已登记备案并购买了采购文件/竞争性谈判文件的潜在服务供应商/报价人，均可要求对采购文件/竞争性谈判文件进行澄清。澄清要求按报价邀请中的联系地址以书面形式（包括书面材料、信函、传真等，下同）送达到采购代理，采购代理将以书面形式予以答复，并以当面交接、邮寄、传真或电子邮件的方式向要求澄清的潜在服务供应商/报价人发出。答复中可以包括原提出的问题，但不包括问题的来源。</w:t>
      </w:r>
    </w:p>
    <w:p>
      <w:pPr>
        <w:spacing w:line="400" w:lineRule="exact"/>
        <w:ind w:left="420" w:hanging="420" w:hangingChars="200"/>
        <w:rPr>
          <w:rFonts w:ascii="宋体" w:hAnsi="宋体"/>
          <w:sz w:val="21"/>
          <w:szCs w:val="21"/>
        </w:rPr>
      </w:pPr>
      <w:r>
        <w:rPr>
          <w:rFonts w:hint="eastAsia" w:ascii="宋体" w:hAnsi="宋体"/>
          <w:sz w:val="21"/>
          <w:szCs w:val="21"/>
        </w:rPr>
        <w:t>7.2</w:t>
      </w:r>
      <w:r>
        <w:rPr>
          <w:rFonts w:hint="eastAsia" w:ascii="宋体" w:hAnsi="宋体"/>
          <w:sz w:val="21"/>
          <w:szCs w:val="21"/>
        </w:rPr>
        <w:tab/>
      </w:r>
      <w:r>
        <w:rPr>
          <w:rFonts w:hint="eastAsia" w:ascii="宋体" w:hAnsi="宋体"/>
          <w:sz w:val="21"/>
          <w:szCs w:val="21"/>
        </w:rPr>
        <w:t>在投标截止期15日以前任何时候，采购代理无论出于何种原因，均可对采购文件用补充文件的方式进行澄清和修改。该文件为采购文件的组成部分，对所有购买了采购文件的潜在服务供应商均具有约束力。</w:t>
      </w:r>
    </w:p>
    <w:p>
      <w:pPr>
        <w:spacing w:line="400" w:lineRule="exact"/>
        <w:ind w:left="420" w:hanging="420" w:hangingChars="200"/>
        <w:rPr>
          <w:rFonts w:ascii="宋体" w:hAnsi="宋体"/>
          <w:sz w:val="21"/>
          <w:szCs w:val="21"/>
        </w:rPr>
      </w:pPr>
      <w:r>
        <w:rPr>
          <w:rFonts w:hint="eastAsia" w:ascii="宋体" w:hAnsi="宋体"/>
          <w:sz w:val="21"/>
          <w:szCs w:val="21"/>
        </w:rPr>
        <w:t>7.3</w:t>
      </w:r>
      <w:r>
        <w:rPr>
          <w:rFonts w:hint="eastAsia" w:ascii="宋体" w:hAnsi="宋体"/>
          <w:sz w:val="21"/>
          <w:szCs w:val="21"/>
        </w:rPr>
        <w:tab/>
      </w:r>
      <w:r>
        <w:rPr>
          <w:rFonts w:hint="eastAsia" w:ascii="宋体" w:hAnsi="宋体"/>
          <w:sz w:val="21"/>
          <w:szCs w:val="21"/>
        </w:rPr>
        <w:t>对采购文件/竞争性谈判文件的补充或修改，将向已登记备案并购买了采购文件/竞争性谈判文件的服务供应商/报价人发出。补充或修改文件将作为采购文件/竞争性谈判文件的组成部分，对所有购买了采购文件/竞争性谈判文件的服务供应商/报价人均具有约束力，而无论是否已经实际收到该补充或修改文件。服务供应商/报价人若收到该补充或修改文件则应立即以书面形式回复确认已收到修改文件。</w:t>
      </w:r>
    </w:p>
    <w:p>
      <w:pPr>
        <w:spacing w:line="400" w:lineRule="exact"/>
        <w:ind w:left="420" w:hanging="420" w:hangingChars="200"/>
        <w:rPr>
          <w:rFonts w:ascii="宋体" w:hAnsi="宋体"/>
          <w:sz w:val="21"/>
          <w:szCs w:val="21"/>
        </w:rPr>
      </w:pPr>
      <w:r>
        <w:rPr>
          <w:rFonts w:hint="eastAsia" w:ascii="宋体" w:hAnsi="宋体"/>
          <w:sz w:val="21"/>
          <w:szCs w:val="21"/>
        </w:rPr>
        <w:t>7.4</w:t>
      </w:r>
      <w:r>
        <w:rPr>
          <w:rFonts w:hint="eastAsia" w:ascii="宋体" w:hAnsi="宋体"/>
          <w:sz w:val="21"/>
          <w:szCs w:val="21"/>
        </w:rPr>
        <w:tab/>
      </w:r>
      <w:r>
        <w:rPr>
          <w:rFonts w:hint="eastAsia" w:ascii="宋体" w:hAnsi="宋体"/>
          <w:sz w:val="21"/>
          <w:szCs w:val="21"/>
        </w:rPr>
        <w:t>为使服务供应商有足够的时间按采购文件的修改要求修正采购文件，采购代理可酌情决定是否推迟投标的截止日期和开标日期，并在提交采购文件截止时间三日前，以书面方式向所有登记并备案并购买了采购文件的潜在服务供应商发出相关通知，同时在本次刊登采购公告的媒体上发布变更公告，对所有潜在服务供应商均具有约束力，而无论是否已经实际收到该通知。采购代理和服务供应商的权利及义务将受到新的截止期的约束。</w:t>
      </w:r>
    </w:p>
    <w:p>
      <w:pPr>
        <w:spacing w:line="400" w:lineRule="exact"/>
        <w:ind w:left="420" w:hanging="420" w:hangingChars="200"/>
        <w:rPr>
          <w:rFonts w:ascii="宋体" w:hAnsi="宋体"/>
          <w:sz w:val="21"/>
          <w:szCs w:val="21"/>
        </w:rPr>
      </w:pPr>
      <w:r>
        <w:rPr>
          <w:rFonts w:hint="eastAsia" w:ascii="宋体" w:hAnsi="宋体"/>
          <w:sz w:val="21"/>
          <w:szCs w:val="21"/>
        </w:rPr>
        <w:t>7.5 采购代理将视情况确定是否有必要召开标前会。如果召开标前会，采购代理将向所有已登记备案并购买了采购文件的潜在服务供应商发出通知。</w:t>
      </w:r>
    </w:p>
    <w:p>
      <w:pPr>
        <w:pStyle w:val="125"/>
        <w:numPr>
          <w:ilvl w:val="0"/>
          <w:numId w:val="0"/>
        </w:numPr>
        <w:tabs>
          <w:tab w:val="left" w:pos="420"/>
        </w:tabs>
        <w:ind w:left="-420" w:leftChars="-175" w:firstLine="413" w:firstLineChars="196"/>
        <w:textAlignment w:val="auto"/>
        <w:rPr>
          <w:color w:val="auto"/>
        </w:rPr>
      </w:pPr>
      <w:bookmarkStart w:id="42" w:name="_Toc87373473"/>
      <w:bookmarkStart w:id="43" w:name="_Toc116879921"/>
      <w:bookmarkStart w:id="44" w:name="_Toc87810226"/>
      <w:bookmarkStart w:id="45" w:name="_Toc99718122"/>
      <w:bookmarkStart w:id="46" w:name="_Toc99881737"/>
      <w:bookmarkStart w:id="47" w:name="_Toc87373374"/>
      <w:bookmarkStart w:id="48" w:name="_Toc108276720"/>
      <w:r>
        <w:rPr>
          <w:rFonts w:hint="eastAsia"/>
          <w:color w:val="auto"/>
        </w:rPr>
        <w:t>三、 采购文件</w:t>
      </w:r>
      <w:bookmarkEnd w:id="42"/>
      <w:bookmarkEnd w:id="43"/>
      <w:bookmarkEnd w:id="44"/>
      <w:bookmarkEnd w:id="45"/>
      <w:bookmarkEnd w:id="46"/>
      <w:bookmarkEnd w:id="47"/>
      <w:bookmarkEnd w:id="48"/>
    </w:p>
    <w:p>
      <w:pPr>
        <w:pStyle w:val="102"/>
        <w:numPr>
          <w:ilvl w:val="0"/>
          <w:numId w:val="0"/>
        </w:numPr>
        <w:spacing w:line="400" w:lineRule="exact"/>
        <w:textAlignment w:val="auto"/>
      </w:pPr>
      <w:r>
        <w:rPr>
          <w:rFonts w:hint="eastAsia"/>
        </w:rPr>
        <w:t>1采购文件的语言和计量单位</w:t>
      </w:r>
    </w:p>
    <w:p>
      <w:pPr>
        <w:pStyle w:val="102"/>
        <w:numPr>
          <w:ilvl w:val="1"/>
          <w:numId w:val="5"/>
        </w:numPr>
        <w:spacing w:line="400" w:lineRule="exact"/>
        <w:textAlignment w:val="auto"/>
      </w:pPr>
      <w:r>
        <w:rPr>
          <w:rFonts w:hint="eastAsia"/>
        </w:rPr>
        <w:t>服务供应商提交的采购文件以及服务供应商与采购代理就有关投标的所有来往函电均应使用中文简体字。</w:t>
      </w:r>
    </w:p>
    <w:p>
      <w:pPr>
        <w:pStyle w:val="102"/>
        <w:numPr>
          <w:ilvl w:val="1"/>
          <w:numId w:val="5"/>
        </w:numPr>
        <w:spacing w:line="400" w:lineRule="exact"/>
        <w:textAlignment w:val="auto"/>
      </w:pPr>
      <w:r>
        <w:rPr>
          <w:rFonts w:hint="eastAsia"/>
        </w:rPr>
        <w:t>服务供应商所提供的技术文件和资料，包括图纸中的说明，应使用中文简体字。</w:t>
      </w:r>
    </w:p>
    <w:p>
      <w:pPr>
        <w:pStyle w:val="102"/>
        <w:numPr>
          <w:ilvl w:val="1"/>
          <w:numId w:val="5"/>
        </w:numPr>
        <w:spacing w:line="400" w:lineRule="exact"/>
        <w:textAlignment w:val="auto"/>
      </w:pPr>
      <w:r>
        <w:rPr>
          <w:rFonts w:hint="eastAsia"/>
        </w:rPr>
        <w:t>原版为外文的证书类文件，以及由外国人作出的本人签名、外国公司的名称或外国印章等可以是外文的，必要时可以要求提供附有公证书的翻译文件。</w:t>
      </w:r>
    </w:p>
    <w:p>
      <w:pPr>
        <w:pStyle w:val="102"/>
        <w:numPr>
          <w:ilvl w:val="1"/>
          <w:numId w:val="5"/>
        </w:numPr>
        <w:spacing w:line="400" w:lineRule="exact"/>
        <w:textAlignment w:val="auto"/>
      </w:pPr>
      <w:r>
        <w:rPr>
          <w:rFonts w:hint="eastAsia"/>
        </w:rPr>
        <w:t>所使用的计量单位，应使用国家法定计量单位。</w:t>
      </w:r>
    </w:p>
    <w:p>
      <w:pPr>
        <w:pStyle w:val="102"/>
        <w:tabs>
          <w:tab w:val="clear" w:pos="709"/>
        </w:tabs>
        <w:spacing w:line="400" w:lineRule="exact"/>
        <w:textAlignment w:val="auto"/>
      </w:pPr>
      <w:r>
        <w:rPr>
          <w:rFonts w:hint="eastAsia"/>
        </w:rPr>
        <w:t>采购文件的组成及相关要求</w:t>
      </w:r>
    </w:p>
    <w:p>
      <w:pPr>
        <w:pStyle w:val="102"/>
        <w:numPr>
          <w:ilvl w:val="1"/>
          <w:numId w:val="5"/>
        </w:numPr>
        <w:spacing w:line="400" w:lineRule="exact"/>
        <w:textAlignment w:val="auto"/>
      </w:pPr>
      <w:r>
        <w:rPr>
          <w:rFonts w:hint="eastAsia"/>
        </w:rPr>
        <w:t>采购文件分为商务部分和技术部分。</w:t>
      </w:r>
    </w:p>
    <w:p>
      <w:pPr>
        <w:pStyle w:val="102"/>
        <w:numPr>
          <w:ilvl w:val="0"/>
          <w:numId w:val="0"/>
        </w:numPr>
        <w:spacing w:line="400" w:lineRule="exact"/>
        <w:ind w:left="709"/>
        <w:textAlignment w:val="auto"/>
      </w:pPr>
      <w:r>
        <w:rPr>
          <w:rFonts w:hint="eastAsia"/>
        </w:rPr>
        <w:t>商务部分指服务供应商提交的证明其有资格参加投标和中标后有能力履行合同的文件。技术部分是能够证明服务供应商提供的货物及服务符合采购文件规定的文件。本次采购，服务供应商应按服务供应商须知前附表规定提交商务文件、技术文件和需要服务供应商自行编写的技术文件。</w:t>
      </w:r>
    </w:p>
    <w:p>
      <w:pPr>
        <w:pStyle w:val="102"/>
        <w:numPr>
          <w:ilvl w:val="0"/>
          <w:numId w:val="0"/>
        </w:numPr>
        <w:spacing w:line="400" w:lineRule="exact"/>
        <w:ind w:left="735" w:hanging="735" w:hangingChars="350"/>
        <w:textAlignment w:val="auto"/>
      </w:pPr>
      <w:r>
        <w:t>2.2</w:t>
      </w:r>
      <w:r>
        <w:rPr>
          <w:rFonts w:hint="eastAsia"/>
        </w:rPr>
        <w:t xml:space="preserve">    服务供应商技术文件规格幅面（A4）应与正文一致，使用宋体五号字，按照采购文件规定的顺序，统一编目编码装订。为方便评标，技术文件中的各项表格必须按照采购文件格式要求制作。</w:t>
      </w:r>
    </w:p>
    <w:p>
      <w:r>
        <w:rPr>
          <w:rFonts w:hint="eastAsia" w:asciiTheme="minorEastAsia" w:hAnsiTheme="minorEastAsia" w:eastAsiaTheme="minorEastAsia"/>
          <w:sz w:val="21"/>
          <w:szCs w:val="21"/>
        </w:rPr>
        <w:t>2.3</w:t>
      </w:r>
      <w:r>
        <w:rPr>
          <w:rFonts w:hint="eastAsia"/>
        </w:rPr>
        <w:t xml:space="preserve">   投标报价</w:t>
      </w:r>
    </w:p>
    <w:p>
      <w:pPr>
        <w:pStyle w:val="102"/>
        <w:numPr>
          <w:ilvl w:val="0"/>
          <w:numId w:val="0"/>
        </w:numPr>
        <w:tabs>
          <w:tab w:val="left" w:pos="420"/>
        </w:tabs>
        <w:spacing w:line="400" w:lineRule="exact"/>
        <w:ind w:left="1198" w:leftChars="249" w:hanging="600" w:hangingChars="286"/>
      </w:pPr>
      <w:r>
        <w:rPr>
          <w:rFonts w:hint="eastAsia"/>
        </w:rPr>
        <w:t>（1） 所有投标报价均以人民币元为计算单位。报价应被视为已经包含了各该项购买货物及其运送、安装、调试、验收、保险和相关服务等的费用和所需缴纳的所有价格、税、费。(本项目的报价应该包括供应、运输、安装、调试、培训、售后服务、备件和所有的伴随服务价格)。</w:t>
      </w:r>
    </w:p>
    <w:p>
      <w:pPr>
        <w:pStyle w:val="102"/>
        <w:numPr>
          <w:ilvl w:val="0"/>
          <w:numId w:val="0"/>
        </w:numPr>
        <w:tabs>
          <w:tab w:val="left" w:pos="420"/>
        </w:tabs>
        <w:spacing w:line="400" w:lineRule="exact"/>
        <w:ind w:left="1123" w:leftChars="249" w:hanging="525" w:hangingChars="250"/>
      </w:pPr>
      <w:r>
        <w:rPr>
          <w:rFonts w:hint="eastAsia"/>
        </w:rPr>
        <w:t>（2） 服务供应商对投标报价若有说明应在开标一览表显著处注明，只有开标时唱出的报价和优惠才会在评标时予以考虑。</w:t>
      </w:r>
    </w:p>
    <w:p>
      <w:pPr>
        <w:pStyle w:val="102"/>
        <w:numPr>
          <w:ilvl w:val="0"/>
          <w:numId w:val="0"/>
        </w:numPr>
        <w:tabs>
          <w:tab w:val="left" w:pos="420"/>
        </w:tabs>
        <w:spacing w:line="400" w:lineRule="exact"/>
        <w:ind w:left="1161" w:leftChars="265" w:hanging="525" w:hangingChars="250"/>
      </w:pPr>
      <w:r>
        <w:rPr>
          <w:rFonts w:hint="eastAsia"/>
        </w:rPr>
        <w:t>（3）服务供应商要按投标货物数量、价格表(统一格式)的内容填写货物单价（包括货物报价，装箱、包装、包装物料、送货和保险费用）、总价及其他事项，并由法定代表人或服务供应商代表签署。</w:t>
      </w:r>
    </w:p>
    <w:p>
      <w:pPr>
        <w:pStyle w:val="102"/>
        <w:numPr>
          <w:ilvl w:val="0"/>
          <w:numId w:val="0"/>
        </w:numPr>
        <w:tabs>
          <w:tab w:val="left" w:pos="420"/>
        </w:tabs>
        <w:spacing w:line="400" w:lineRule="exact"/>
        <w:ind w:left="1154" w:leftChars="262" w:hanging="525" w:hangingChars="250"/>
      </w:pPr>
      <w:r>
        <w:rPr>
          <w:rFonts w:hint="eastAsia"/>
        </w:rPr>
        <w:t>（4）对于有</w:t>
      </w:r>
      <w:r>
        <w:rPr>
          <w:rFonts w:hint="eastAsia"/>
          <w:kern w:val="2"/>
        </w:rPr>
        <w:t>配件、耗材、选件和</w:t>
      </w:r>
      <w:r>
        <w:rPr>
          <w:rFonts w:hint="eastAsia"/>
        </w:rPr>
        <w:t>特殊工具的货物，还应填报</w:t>
      </w:r>
      <w:r>
        <w:rPr>
          <w:rFonts w:hint="eastAsia"/>
          <w:kern w:val="2"/>
        </w:rPr>
        <w:t>投标货物配件、耗材、选件表和</w:t>
      </w:r>
      <w:r>
        <w:rPr>
          <w:rFonts w:hint="eastAsia"/>
        </w:rPr>
        <w:t>备件及特殊工具清单，注明品牌、型号、产地、功能、单价、批量折扣等内容，该表格式由服务供应商自行设计。服务供应商按照上述要求分类报价，其目的是便于评标，但在任何情况下并不限制采购人以任何条款签订合同的权利。</w:t>
      </w:r>
    </w:p>
    <w:p>
      <w:pPr>
        <w:pStyle w:val="102"/>
        <w:numPr>
          <w:ilvl w:val="0"/>
          <w:numId w:val="0"/>
        </w:numPr>
        <w:tabs>
          <w:tab w:val="left" w:pos="420"/>
        </w:tabs>
        <w:spacing w:line="400" w:lineRule="exact"/>
        <w:ind w:left="1154" w:leftChars="262" w:hanging="525" w:hangingChars="250"/>
      </w:pPr>
      <w:r>
        <w:rPr>
          <w:rFonts w:hint="eastAsia"/>
        </w:rPr>
        <w:t>（5）最低报价不能作为中标的保证。</w:t>
      </w:r>
    </w:p>
    <w:p>
      <w:pPr>
        <w:pStyle w:val="102"/>
        <w:numPr>
          <w:ilvl w:val="0"/>
          <w:numId w:val="0"/>
        </w:numPr>
        <w:tabs>
          <w:tab w:val="left" w:pos="420"/>
        </w:tabs>
        <w:spacing w:line="400" w:lineRule="exact"/>
      </w:pPr>
      <w:r>
        <w:rPr>
          <w:rFonts w:hint="eastAsia"/>
        </w:rPr>
        <w:t>3.    投标内容填写说明</w:t>
      </w:r>
    </w:p>
    <w:p>
      <w:pPr>
        <w:pStyle w:val="102"/>
        <w:numPr>
          <w:ilvl w:val="0"/>
          <w:numId w:val="0"/>
        </w:numPr>
        <w:tabs>
          <w:tab w:val="left" w:pos="420"/>
        </w:tabs>
        <w:spacing w:line="400" w:lineRule="exact"/>
        <w:ind w:left="630" w:hanging="630" w:hangingChars="300"/>
      </w:pPr>
      <w:r>
        <w:rPr>
          <w:rFonts w:hint="eastAsia"/>
        </w:rPr>
        <w:t>3.1   服务供应商应详细阅读采购文件的全部内容。采购文件须对采购文件中的内容做出实质性和完整的响应，如果采购文件填报的内容资料不详，或没有提供采购文件中所要求的全部资料及数据，包括但不限于</w:t>
      </w:r>
      <w:r>
        <w:rPr>
          <w:rFonts w:hint="eastAsia"/>
          <w:u w:val="single"/>
        </w:rPr>
        <w:t>服务供应商须知前附表第2项</w:t>
      </w:r>
      <w:r>
        <w:rPr>
          <w:rFonts w:hint="eastAsia"/>
        </w:rPr>
        <w:t>规定的内容，将导致投标被拒绝。</w:t>
      </w:r>
    </w:p>
    <w:p>
      <w:pPr>
        <w:pStyle w:val="102"/>
        <w:numPr>
          <w:ilvl w:val="0"/>
          <w:numId w:val="0"/>
        </w:numPr>
        <w:tabs>
          <w:tab w:val="left" w:pos="420"/>
        </w:tabs>
        <w:spacing w:line="400" w:lineRule="exact"/>
        <w:ind w:left="630" w:hanging="630" w:hangingChars="300"/>
      </w:pPr>
      <w:r>
        <w:rPr>
          <w:rFonts w:hint="eastAsia"/>
        </w:rPr>
        <w:t>3.2   采购文件应严格按照采购文件规定的顺序装订成册并编制目录，由于编排混乱导致采购文件被误读或查找不到，是服务供应商的责任。</w:t>
      </w:r>
    </w:p>
    <w:p>
      <w:pPr>
        <w:pStyle w:val="102"/>
        <w:numPr>
          <w:ilvl w:val="0"/>
          <w:numId w:val="0"/>
        </w:numPr>
        <w:tabs>
          <w:tab w:val="left" w:pos="420"/>
        </w:tabs>
        <w:spacing w:line="400" w:lineRule="exact"/>
        <w:ind w:left="630" w:hanging="630" w:hangingChars="300"/>
      </w:pPr>
      <w:r>
        <w:rPr>
          <w:rFonts w:hint="eastAsia"/>
        </w:rPr>
        <w:t>3.3   采购文件应严格按照采购文件第七部分的要求提交，并按规定的统一格式逐项填写，不准有空项；无相应内容可填的项应填写“无”、“未测试”、“没有相应指标”等明确的回答文字。采购文件未按规定提交或留有空项，将被视为不完整响应的采购文件，其投标有可能被拒绝。</w:t>
      </w:r>
    </w:p>
    <w:p>
      <w:pPr>
        <w:pStyle w:val="102"/>
        <w:numPr>
          <w:ilvl w:val="0"/>
          <w:numId w:val="0"/>
        </w:numPr>
        <w:tabs>
          <w:tab w:val="left" w:pos="420"/>
          <w:tab w:val="left" w:pos="735"/>
        </w:tabs>
        <w:spacing w:line="400" w:lineRule="exact"/>
        <w:ind w:left="1159" w:leftChars="276" w:hanging="497" w:hangingChars="237"/>
      </w:pPr>
      <w:r>
        <w:rPr>
          <w:rFonts w:hint="eastAsia"/>
        </w:rPr>
        <w:t>开标一览表为在开标仪式上唱标的内容，要求按格式统一填写，不得自行增减内容。</w:t>
      </w:r>
    </w:p>
    <w:p>
      <w:pPr>
        <w:pStyle w:val="102"/>
        <w:numPr>
          <w:ilvl w:val="0"/>
          <w:numId w:val="0"/>
        </w:numPr>
        <w:tabs>
          <w:tab w:val="left" w:pos="420"/>
          <w:tab w:val="left" w:pos="735"/>
        </w:tabs>
        <w:spacing w:line="400" w:lineRule="exact"/>
        <w:ind w:left="600" w:leftChars="250"/>
      </w:pPr>
      <w:r>
        <w:rPr>
          <w:rFonts w:hint="eastAsia"/>
        </w:rPr>
        <w:t xml:space="preserve">服务供应商必须保证采购文件所提供的全部资料真实可靠，并接受采购代理或评标委员会对其中任何资料进一步审查的要求。 </w:t>
      </w:r>
    </w:p>
    <w:p>
      <w:pPr>
        <w:pStyle w:val="102"/>
        <w:numPr>
          <w:ilvl w:val="0"/>
          <w:numId w:val="0"/>
        </w:numPr>
        <w:tabs>
          <w:tab w:val="left" w:pos="420"/>
        </w:tabs>
        <w:spacing w:line="400" w:lineRule="exact"/>
      </w:pPr>
      <w:r>
        <w:rPr>
          <w:rFonts w:hint="eastAsia"/>
        </w:rPr>
        <w:t>4.    采购文件的签署及其他规定</w:t>
      </w:r>
    </w:p>
    <w:p>
      <w:pPr>
        <w:pStyle w:val="102"/>
        <w:numPr>
          <w:ilvl w:val="0"/>
          <w:numId w:val="0"/>
        </w:numPr>
        <w:tabs>
          <w:tab w:val="left" w:pos="420"/>
        </w:tabs>
        <w:spacing w:line="400" w:lineRule="exact"/>
      </w:pPr>
      <w:r>
        <w:rPr>
          <w:rFonts w:hint="eastAsia"/>
        </w:rPr>
        <w:t>4.1   组成采购文件的各项文件均应遵守本条。</w:t>
      </w:r>
    </w:p>
    <w:p>
      <w:pPr>
        <w:pStyle w:val="102"/>
        <w:numPr>
          <w:ilvl w:val="0"/>
          <w:numId w:val="0"/>
        </w:numPr>
        <w:tabs>
          <w:tab w:val="left" w:pos="420"/>
        </w:tabs>
        <w:spacing w:line="400" w:lineRule="exact"/>
        <w:ind w:left="630" w:hanging="630" w:hangingChars="300"/>
      </w:pPr>
      <w:r>
        <w:rPr>
          <w:rFonts w:hint="eastAsia"/>
        </w:rPr>
        <w:t>4.2   报价人在采购文件及相关文件的签订、履行、通知等事项中的书面文件中的单位盖章、印章、公章等处均仅指与当事人名称全称相一致的标准公章，不得使用其它形式如带有“专用章”等字样的印章。否则可以被甲方视为无效。</w:t>
      </w:r>
    </w:p>
    <w:p>
      <w:pPr>
        <w:pStyle w:val="102"/>
        <w:numPr>
          <w:ilvl w:val="0"/>
          <w:numId w:val="0"/>
        </w:numPr>
        <w:tabs>
          <w:tab w:val="left" w:pos="420"/>
        </w:tabs>
        <w:spacing w:line="400" w:lineRule="exact"/>
        <w:ind w:left="735" w:hanging="735" w:hangingChars="350"/>
      </w:pPr>
      <w:r>
        <w:rPr>
          <w:rFonts w:hint="eastAsia"/>
        </w:rPr>
        <w:t>4.3   服务供应商应按服务供应商须知前附表第</w:t>
      </w:r>
      <w:r>
        <w:rPr>
          <w:rFonts w:hint="eastAsia"/>
          <w:u w:val="single"/>
        </w:rPr>
        <w:t>6</w:t>
      </w:r>
      <w:r>
        <w:rPr>
          <w:rFonts w:hint="eastAsia"/>
        </w:rPr>
        <w:t>条规定的份数提交采购文件。</w:t>
      </w:r>
    </w:p>
    <w:p>
      <w:pPr>
        <w:pStyle w:val="102"/>
        <w:numPr>
          <w:ilvl w:val="0"/>
          <w:numId w:val="0"/>
        </w:numPr>
        <w:tabs>
          <w:tab w:val="left" w:pos="420"/>
        </w:tabs>
        <w:spacing w:line="400" w:lineRule="exact"/>
        <w:ind w:left="648" w:leftChars="270"/>
      </w:pPr>
      <w:r>
        <w:rPr>
          <w:rFonts w:hint="eastAsia"/>
        </w:rPr>
        <w:t>⑴ 如果要求提交采购文件电子文档，该文档应用不可擦写的刻录光盘（CD-R）为存储介质，并在盘面标注服务供应商全称、项目编号；采购文件电子文档应与采购文件正本纸介质的全部内容一致并按照正本的顺序编排，有关资格证明文件和证书、检验报告等应依原样扫描为彩色电子文档，且清晰易读；</w:t>
      </w:r>
    </w:p>
    <w:p>
      <w:pPr>
        <w:spacing w:line="400" w:lineRule="exact"/>
        <w:ind w:left="648" w:leftChars="270"/>
        <w:rPr>
          <w:rFonts w:ascii="宋体" w:hAnsi="宋体"/>
          <w:sz w:val="21"/>
          <w:szCs w:val="21"/>
        </w:rPr>
      </w:pPr>
      <w:r>
        <w:rPr>
          <w:rFonts w:hint="eastAsia" w:ascii="宋体" w:hAnsi="宋体"/>
          <w:sz w:val="21"/>
          <w:szCs w:val="21"/>
        </w:rPr>
        <w:t>⑵ 服务供应商应保证采购文件副本与正本、电子文档与文本文档的内容严格一致，如果正本与副本或电子文档不一致，以正本为准；开标一览表的二份正本如有差异，按无效投标处理。采购文件被误读或被视为无效等不利后果由服务供应商承担。</w:t>
      </w:r>
    </w:p>
    <w:p>
      <w:pPr>
        <w:pStyle w:val="102"/>
        <w:numPr>
          <w:ilvl w:val="0"/>
          <w:numId w:val="0"/>
        </w:numPr>
        <w:tabs>
          <w:tab w:val="left" w:pos="420"/>
        </w:tabs>
        <w:spacing w:line="400" w:lineRule="exact"/>
        <w:ind w:left="630" w:hanging="630" w:hangingChars="300"/>
      </w:pPr>
      <w:r>
        <w:rPr>
          <w:rFonts w:hint="eastAsia"/>
        </w:rPr>
        <w:t>4.4   采购文件的正本必须用不褪色的蓝黑墨水填写或打印，注明“正本”字样，并由服务供应商的法定代表人或服务供应商代表签字。由服务供应商代表签字的，服务供应商代表须将书面形式的《法定代表人授权委托书》（按照采购文件格式填写）原件附在采购文件中，否则按投标无效处理。</w:t>
      </w:r>
    </w:p>
    <w:p>
      <w:pPr>
        <w:pStyle w:val="102"/>
        <w:numPr>
          <w:ilvl w:val="0"/>
          <w:numId w:val="0"/>
        </w:numPr>
        <w:tabs>
          <w:tab w:val="left" w:pos="420"/>
        </w:tabs>
        <w:spacing w:line="400" w:lineRule="exact"/>
        <w:ind w:left="630" w:hanging="630" w:hangingChars="300"/>
      </w:pPr>
      <w:r>
        <w:rPr>
          <w:rFonts w:hint="eastAsia"/>
        </w:rPr>
        <w:t>4.5   采购文件应字迹清楚、内容齐全、不得涂改或增删。如有修改和增删，必须有服务供应商公章及法定代表人或其授权的服务供应商代表签字。</w:t>
      </w:r>
    </w:p>
    <w:p>
      <w:pPr>
        <w:pStyle w:val="102"/>
        <w:numPr>
          <w:ilvl w:val="0"/>
          <w:numId w:val="0"/>
        </w:numPr>
        <w:tabs>
          <w:tab w:val="left" w:pos="420"/>
        </w:tabs>
        <w:spacing w:line="400" w:lineRule="exact"/>
        <w:ind w:left="718" w:hanging="718" w:hangingChars="342"/>
      </w:pPr>
      <w:r>
        <w:rPr>
          <w:rFonts w:hint="eastAsia"/>
        </w:rPr>
        <w:t>4.6   因采购文件字迹潦草或表达不清所引起的不利后果由服务供应商承担。</w:t>
      </w:r>
    </w:p>
    <w:p>
      <w:pPr>
        <w:pStyle w:val="125"/>
        <w:numPr>
          <w:ilvl w:val="0"/>
          <w:numId w:val="0"/>
        </w:numPr>
        <w:tabs>
          <w:tab w:val="left" w:pos="420"/>
        </w:tabs>
        <w:ind w:left="-420" w:leftChars="-175" w:firstLine="413" w:firstLineChars="196"/>
        <w:textAlignment w:val="auto"/>
        <w:rPr>
          <w:color w:val="auto"/>
        </w:rPr>
      </w:pPr>
      <w:bookmarkStart w:id="49" w:name="_Toc116879922"/>
      <w:bookmarkStart w:id="50" w:name="_Toc108276721"/>
      <w:bookmarkStart w:id="51" w:name="_Toc87373474"/>
      <w:bookmarkStart w:id="52" w:name="_Toc87373375"/>
      <w:bookmarkStart w:id="53" w:name="_Toc99881738"/>
      <w:bookmarkStart w:id="54" w:name="_Toc99718123"/>
      <w:bookmarkStart w:id="55" w:name="_Toc87810227"/>
      <w:r>
        <w:rPr>
          <w:rFonts w:hint="eastAsia"/>
          <w:color w:val="auto"/>
        </w:rPr>
        <w:t>四、 采购文件的递交</w:t>
      </w:r>
      <w:bookmarkEnd w:id="49"/>
      <w:bookmarkEnd w:id="50"/>
      <w:bookmarkEnd w:id="51"/>
      <w:bookmarkEnd w:id="52"/>
      <w:bookmarkEnd w:id="53"/>
      <w:bookmarkEnd w:id="54"/>
      <w:bookmarkEnd w:id="55"/>
    </w:p>
    <w:p>
      <w:pPr>
        <w:pStyle w:val="102"/>
        <w:numPr>
          <w:ilvl w:val="0"/>
          <w:numId w:val="0"/>
        </w:numPr>
        <w:tabs>
          <w:tab w:val="left" w:pos="420"/>
        </w:tabs>
        <w:spacing w:line="400" w:lineRule="exact"/>
      </w:pPr>
      <w:r>
        <w:rPr>
          <w:rFonts w:hint="eastAsia"/>
        </w:rPr>
        <w:t>1.    采购文件的密封及标记</w:t>
      </w:r>
    </w:p>
    <w:p>
      <w:pPr>
        <w:pStyle w:val="102"/>
        <w:numPr>
          <w:ilvl w:val="0"/>
          <w:numId w:val="0"/>
        </w:numPr>
        <w:tabs>
          <w:tab w:val="left" w:pos="420"/>
        </w:tabs>
        <w:spacing w:line="400" w:lineRule="exact"/>
      </w:pPr>
      <w:r>
        <w:rPr>
          <w:rFonts w:hint="eastAsia"/>
        </w:rPr>
        <w:t>1.1   采购文件应按以下方法分别装袋密封：</w:t>
      </w:r>
    </w:p>
    <w:p>
      <w:pPr>
        <w:numPr>
          <w:ilvl w:val="0"/>
          <w:numId w:val="16"/>
        </w:numPr>
        <w:tabs>
          <w:tab w:val="left" w:pos="1080"/>
          <w:tab w:val="clear" w:pos="1800"/>
        </w:tabs>
        <w:spacing w:line="400" w:lineRule="exact"/>
        <w:ind w:left="1200" w:hanging="600"/>
        <w:textAlignment w:val="auto"/>
        <w:rPr>
          <w:rFonts w:ascii="宋体" w:hAnsi="宋体"/>
          <w:sz w:val="21"/>
          <w:szCs w:val="21"/>
        </w:rPr>
      </w:pPr>
      <w:r>
        <w:rPr>
          <w:rFonts w:hint="eastAsia" w:ascii="宋体" w:hAnsi="宋体"/>
          <w:sz w:val="21"/>
          <w:szCs w:val="21"/>
        </w:rPr>
        <w:t>采购文件密封袋内装采购文件正副本、电子文档（</w:t>
      </w:r>
      <w:r>
        <w:rPr>
          <w:rFonts w:hint="eastAsia"/>
          <w:sz w:val="21"/>
          <w:szCs w:val="21"/>
        </w:rPr>
        <w:t>如果要求提交</w:t>
      </w:r>
      <w:r>
        <w:rPr>
          <w:rFonts w:hint="eastAsia" w:ascii="宋体" w:hAnsi="宋体"/>
          <w:sz w:val="21"/>
          <w:szCs w:val="21"/>
        </w:rPr>
        <w:t>）及服务供应商认为有必要提交的其他资料。封口处应有法定代表人或服务供应商代表的签字及服务供应商公章。封皮上写明项目编号、项目名称、服务供应商全称、地址，并注明“开标时启封”字样。</w:t>
      </w:r>
    </w:p>
    <w:p>
      <w:pPr>
        <w:numPr>
          <w:ilvl w:val="0"/>
          <w:numId w:val="16"/>
        </w:numPr>
        <w:tabs>
          <w:tab w:val="left" w:pos="1080"/>
          <w:tab w:val="clear" w:pos="1800"/>
        </w:tabs>
        <w:spacing w:line="400" w:lineRule="exact"/>
        <w:ind w:left="1200" w:hanging="600"/>
        <w:textAlignment w:val="auto"/>
        <w:rPr>
          <w:rFonts w:ascii="宋体" w:hAnsi="宋体"/>
          <w:sz w:val="21"/>
          <w:szCs w:val="21"/>
        </w:rPr>
      </w:pPr>
      <w:r>
        <w:rPr>
          <w:rFonts w:hint="eastAsia" w:ascii="宋体" w:hAnsi="宋体"/>
          <w:sz w:val="21"/>
          <w:szCs w:val="21"/>
        </w:rPr>
        <w:t>为方便开标，</w:t>
      </w:r>
      <w:r>
        <w:rPr>
          <w:rFonts w:hint="eastAsia" w:ascii="宋体" w:hAnsi="宋体"/>
          <w:b/>
          <w:sz w:val="21"/>
          <w:szCs w:val="21"/>
        </w:rPr>
        <w:t>开标一览表应单独放在另一密封信封内，</w:t>
      </w:r>
      <w:r>
        <w:rPr>
          <w:rFonts w:hint="eastAsia" w:ascii="宋体" w:hAnsi="宋体"/>
          <w:sz w:val="21"/>
          <w:szCs w:val="21"/>
        </w:rPr>
        <w:t>封口处应有法定代表人或服务供应商代表的签字及服务供应商公章。封皮上写明项目编号、项目名称及服务供应商全称，并注明“开标一览表”字样。</w:t>
      </w:r>
    </w:p>
    <w:p>
      <w:pPr>
        <w:tabs>
          <w:tab w:val="left" w:pos="1080"/>
        </w:tabs>
        <w:spacing w:line="400" w:lineRule="exact"/>
        <w:ind w:left="630" w:hanging="630" w:hangingChars="300"/>
        <w:textAlignment w:val="auto"/>
        <w:rPr>
          <w:rFonts w:ascii="宋体" w:hAnsi="宋体"/>
          <w:sz w:val="21"/>
          <w:szCs w:val="21"/>
        </w:rPr>
      </w:pPr>
      <w:r>
        <w:rPr>
          <w:rFonts w:hint="eastAsia" w:ascii="宋体" w:hAnsi="宋体"/>
          <w:sz w:val="21"/>
          <w:szCs w:val="21"/>
        </w:rPr>
        <w:t>1.2   如果服务供应商未按上述要求对采购文件密封及加写标记，采购代理对采购文件的误投和提前启封概不负责。对由此造成提前开封的采购文件，采购代理有权予以拒绝，并退回服务供应商。</w:t>
      </w:r>
    </w:p>
    <w:p>
      <w:pPr>
        <w:tabs>
          <w:tab w:val="left" w:pos="1080"/>
        </w:tabs>
        <w:spacing w:line="400" w:lineRule="exact"/>
        <w:textAlignment w:val="auto"/>
        <w:rPr>
          <w:rFonts w:ascii="宋体" w:hAnsi="宋体"/>
          <w:sz w:val="21"/>
          <w:szCs w:val="21"/>
        </w:rPr>
      </w:pPr>
      <w:r>
        <w:rPr>
          <w:rFonts w:hint="eastAsia" w:ascii="宋体" w:hAnsi="宋体"/>
          <w:sz w:val="21"/>
          <w:szCs w:val="21"/>
        </w:rPr>
        <w:t>2     投标截止时间</w:t>
      </w:r>
    </w:p>
    <w:p>
      <w:pPr>
        <w:tabs>
          <w:tab w:val="left" w:pos="1080"/>
        </w:tabs>
        <w:spacing w:line="400" w:lineRule="exact"/>
        <w:ind w:left="630" w:hanging="630" w:hangingChars="300"/>
        <w:textAlignment w:val="auto"/>
        <w:rPr>
          <w:rFonts w:ascii="宋体" w:hAnsi="宋体"/>
          <w:sz w:val="21"/>
          <w:szCs w:val="21"/>
        </w:rPr>
      </w:pPr>
      <w:r>
        <w:rPr>
          <w:rFonts w:hint="eastAsia" w:ascii="宋体" w:hAnsi="宋体"/>
          <w:sz w:val="21"/>
          <w:szCs w:val="21"/>
        </w:rPr>
        <w:t>2.1   采购文件须按照采购文件规定的投标时间、地点送达。在投标截止时间以后送达的采购文件，采购代理拒绝接收。</w:t>
      </w:r>
    </w:p>
    <w:p>
      <w:pPr>
        <w:tabs>
          <w:tab w:val="left" w:pos="1080"/>
        </w:tabs>
        <w:spacing w:line="400" w:lineRule="exact"/>
        <w:textAlignment w:val="auto"/>
        <w:rPr>
          <w:rFonts w:ascii="宋体" w:hAnsi="宋体"/>
          <w:sz w:val="21"/>
          <w:szCs w:val="21"/>
        </w:rPr>
      </w:pPr>
      <w:r>
        <w:rPr>
          <w:rFonts w:hint="eastAsia" w:ascii="宋体" w:hAnsi="宋体"/>
          <w:sz w:val="21"/>
          <w:szCs w:val="21"/>
        </w:rPr>
        <w:t>3.    采购文件的补充、修改和撤回</w:t>
      </w:r>
    </w:p>
    <w:p>
      <w:pPr>
        <w:tabs>
          <w:tab w:val="left" w:pos="1080"/>
        </w:tabs>
        <w:spacing w:line="400" w:lineRule="exact"/>
        <w:ind w:left="630" w:hanging="630" w:hangingChars="300"/>
        <w:textAlignment w:val="auto"/>
        <w:rPr>
          <w:rFonts w:ascii="宋体" w:hAnsi="宋体"/>
          <w:sz w:val="21"/>
          <w:szCs w:val="21"/>
        </w:rPr>
      </w:pPr>
      <w:r>
        <w:rPr>
          <w:rFonts w:hint="eastAsia" w:ascii="宋体" w:hAnsi="宋体"/>
          <w:sz w:val="21"/>
          <w:szCs w:val="21"/>
        </w:rPr>
        <w:t>3.1   服务供应商可以在投标截止时间前,对所递交的采购文件进行补充、修改或者撤回，并以书面形式通知采购代理，补充、修改和撤标要求须经采购代理签字确认接受，否则无效。</w:t>
      </w:r>
    </w:p>
    <w:p>
      <w:pPr>
        <w:tabs>
          <w:tab w:val="left" w:pos="1080"/>
        </w:tabs>
        <w:spacing w:line="400" w:lineRule="exact"/>
        <w:ind w:left="630" w:hanging="630" w:hangingChars="300"/>
        <w:textAlignment w:val="auto"/>
        <w:rPr>
          <w:rFonts w:ascii="宋体" w:hAnsi="宋体"/>
          <w:sz w:val="21"/>
          <w:szCs w:val="21"/>
        </w:rPr>
      </w:pPr>
      <w:r>
        <w:rPr>
          <w:rFonts w:hint="eastAsia" w:ascii="宋体" w:hAnsi="宋体"/>
          <w:sz w:val="21"/>
          <w:szCs w:val="21"/>
        </w:rPr>
        <w:t>3.2   服务供应商撤回投标的要求应由服务供应商法定代表人或服务供应商代表签署，补充、修改采购文件的书面材料，应当按照采购文件要求签署、盖章，作为采购文件的组成部分，密封送达采购代理，同时应在封套上标明“修改采购文件(并注明项目编号)”和“开标时启封”字样。</w:t>
      </w:r>
    </w:p>
    <w:p>
      <w:pPr>
        <w:tabs>
          <w:tab w:val="left" w:pos="1080"/>
        </w:tabs>
        <w:spacing w:line="400" w:lineRule="exact"/>
        <w:textAlignment w:val="auto"/>
        <w:rPr>
          <w:rFonts w:ascii="宋体" w:hAnsi="宋体"/>
          <w:sz w:val="21"/>
          <w:szCs w:val="21"/>
        </w:rPr>
      </w:pPr>
      <w:r>
        <w:rPr>
          <w:rFonts w:hint="eastAsia" w:ascii="宋体" w:hAnsi="宋体"/>
          <w:sz w:val="21"/>
          <w:szCs w:val="21"/>
        </w:rPr>
        <w:t>3.3   在投标截止时间之后，服务供应商不得撤回投标。</w:t>
      </w:r>
    </w:p>
    <w:p>
      <w:pPr>
        <w:pStyle w:val="125"/>
        <w:numPr>
          <w:ilvl w:val="0"/>
          <w:numId w:val="0"/>
        </w:numPr>
        <w:tabs>
          <w:tab w:val="left" w:pos="420"/>
        </w:tabs>
        <w:textAlignment w:val="auto"/>
        <w:rPr>
          <w:color w:val="auto"/>
        </w:rPr>
      </w:pPr>
      <w:bookmarkStart w:id="56" w:name="_Toc87373376"/>
      <w:bookmarkStart w:id="57" w:name="_Toc99881739"/>
      <w:bookmarkStart w:id="58" w:name="_Toc87810228"/>
      <w:bookmarkStart w:id="59" w:name="_Toc87373475"/>
      <w:bookmarkStart w:id="60" w:name="_Toc99718124"/>
      <w:bookmarkStart w:id="61" w:name="_Toc116879923"/>
      <w:bookmarkStart w:id="62" w:name="_Toc108276722"/>
      <w:r>
        <w:rPr>
          <w:rFonts w:hint="eastAsia"/>
          <w:color w:val="auto"/>
        </w:rPr>
        <w:t>五、 开标</w:t>
      </w:r>
      <w:bookmarkEnd w:id="56"/>
      <w:bookmarkEnd w:id="57"/>
      <w:bookmarkEnd w:id="58"/>
      <w:bookmarkEnd w:id="59"/>
      <w:bookmarkEnd w:id="60"/>
      <w:bookmarkEnd w:id="61"/>
      <w:bookmarkEnd w:id="62"/>
    </w:p>
    <w:p>
      <w:pPr>
        <w:ind w:left="648" w:leftChars="270"/>
        <w:rPr>
          <w:rFonts w:ascii="宋体" w:hAnsi="宋体"/>
          <w:sz w:val="21"/>
          <w:szCs w:val="21"/>
        </w:rPr>
      </w:pPr>
      <w:r>
        <w:rPr>
          <w:rFonts w:hint="eastAsia" w:ascii="宋体" w:hAnsi="宋体"/>
          <w:sz w:val="21"/>
          <w:szCs w:val="21"/>
        </w:rPr>
        <w:t>按采购文件规定的时间、地点公开开标，采购人代表、服务供应商代表及有关工作人员参加。</w:t>
      </w:r>
    </w:p>
    <w:p>
      <w:pPr>
        <w:ind w:left="648" w:leftChars="270"/>
        <w:rPr>
          <w:rFonts w:ascii="宋体" w:hAnsi="宋体"/>
          <w:sz w:val="21"/>
          <w:szCs w:val="21"/>
        </w:rPr>
      </w:pPr>
      <w:r>
        <w:rPr>
          <w:rFonts w:hint="eastAsia" w:ascii="宋体" w:hAnsi="宋体"/>
          <w:sz w:val="21"/>
          <w:szCs w:val="21"/>
        </w:rPr>
        <w:t>服务供应商参加开标的代表必须签名报到以证明其出席。</w:t>
      </w:r>
    </w:p>
    <w:p>
      <w:pPr>
        <w:ind w:left="648" w:leftChars="270"/>
        <w:rPr>
          <w:rFonts w:ascii="宋体" w:hAnsi="宋体"/>
          <w:sz w:val="21"/>
          <w:szCs w:val="21"/>
        </w:rPr>
      </w:pPr>
      <w:r>
        <w:rPr>
          <w:rFonts w:hint="eastAsia" w:ascii="宋体" w:hAnsi="宋体"/>
          <w:sz w:val="21"/>
          <w:szCs w:val="21"/>
        </w:rPr>
        <w:t>开标时查验采购文件密封情况，确认无误后拆封唱标。</w:t>
      </w:r>
    </w:p>
    <w:p>
      <w:pPr>
        <w:ind w:left="648" w:leftChars="270"/>
        <w:rPr>
          <w:rFonts w:ascii="宋体" w:hAnsi="宋体"/>
          <w:sz w:val="21"/>
          <w:szCs w:val="21"/>
        </w:rPr>
      </w:pPr>
      <w:r>
        <w:rPr>
          <w:rFonts w:hint="eastAsia" w:ascii="宋体" w:hAnsi="宋体"/>
          <w:sz w:val="21"/>
          <w:szCs w:val="21"/>
        </w:rPr>
        <w:t>开标时，采购代理当众宣读服务供应商名称、投标价格、书面补充、修改和撤回投标的通知以及认为适当的其他内容。服务供应商若有报价和优惠未被唱出，应在开标时及时声明或提请注意，否则采购方对此不承担任何责任。</w:t>
      </w:r>
    </w:p>
    <w:p>
      <w:pPr>
        <w:ind w:left="648" w:leftChars="270"/>
        <w:rPr>
          <w:rFonts w:ascii="宋体" w:hAnsi="宋体"/>
          <w:sz w:val="21"/>
          <w:szCs w:val="21"/>
        </w:rPr>
      </w:pPr>
      <w:r>
        <w:rPr>
          <w:rFonts w:hint="eastAsia" w:ascii="宋体" w:hAnsi="宋体"/>
          <w:sz w:val="21"/>
          <w:szCs w:val="21"/>
        </w:rPr>
        <w:t>采购代理将做开标记录并在开标后要求法定代表人或服务供应商代表签字确认。</w:t>
      </w:r>
    </w:p>
    <w:p>
      <w:pPr>
        <w:pStyle w:val="125"/>
        <w:numPr>
          <w:ilvl w:val="2"/>
          <w:numId w:val="17"/>
        </w:numPr>
        <w:tabs>
          <w:tab w:val="left" w:pos="720"/>
          <w:tab w:val="clear" w:pos="1260"/>
        </w:tabs>
        <w:ind w:left="1096" w:hanging="1096" w:hangingChars="520"/>
        <w:textAlignment w:val="auto"/>
        <w:rPr>
          <w:color w:val="auto"/>
        </w:rPr>
      </w:pPr>
      <w:bookmarkStart w:id="63" w:name="_Toc99718125"/>
      <w:bookmarkStart w:id="64" w:name="_Toc87810229"/>
      <w:bookmarkStart w:id="65" w:name="_Toc108276723"/>
      <w:bookmarkStart w:id="66" w:name="_Toc87373476"/>
      <w:bookmarkStart w:id="67" w:name="_Toc116879924"/>
      <w:bookmarkStart w:id="68" w:name="_Toc99881740"/>
      <w:r>
        <w:rPr>
          <w:rFonts w:hint="eastAsia"/>
          <w:color w:val="auto"/>
        </w:rPr>
        <w:t>评标步骤和要求</w:t>
      </w:r>
      <w:bookmarkEnd w:id="63"/>
      <w:bookmarkEnd w:id="64"/>
      <w:bookmarkEnd w:id="65"/>
      <w:bookmarkEnd w:id="66"/>
      <w:bookmarkEnd w:id="67"/>
      <w:bookmarkEnd w:id="68"/>
    </w:p>
    <w:p>
      <w:pPr>
        <w:spacing w:line="240" w:lineRule="auto"/>
        <w:rPr>
          <w:rFonts w:ascii="宋体" w:hAnsi="宋体"/>
          <w:sz w:val="21"/>
          <w:szCs w:val="21"/>
        </w:rPr>
      </w:pPr>
    </w:p>
    <w:p>
      <w:pPr>
        <w:pStyle w:val="102"/>
        <w:numPr>
          <w:ilvl w:val="0"/>
          <w:numId w:val="0"/>
        </w:numPr>
        <w:spacing w:line="400" w:lineRule="exact"/>
        <w:textAlignment w:val="auto"/>
      </w:pPr>
      <w:r>
        <w:rPr>
          <w:rFonts w:hint="eastAsia"/>
        </w:rPr>
        <w:t>1．   组建评标委员会</w:t>
      </w:r>
    </w:p>
    <w:p>
      <w:pPr>
        <w:pStyle w:val="102"/>
        <w:numPr>
          <w:ilvl w:val="0"/>
          <w:numId w:val="0"/>
        </w:numPr>
        <w:tabs>
          <w:tab w:val="left" w:pos="420"/>
        </w:tabs>
        <w:spacing w:line="400" w:lineRule="exact"/>
        <w:ind w:left="630" w:hanging="630" w:hangingChars="300"/>
      </w:pPr>
      <w:r>
        <w:rPr>
          <w:rFonts w:hint="eastAsia"/>
        </w:rPr>
        <w:t>1.1   采购代理根据有关法律法规和本采购文件的规定，结合本采购项目的特点组建评标委员会，对所有被认为具备实质性响应的采购文件进行评估和比较。评标委员会评标委员会由五人（含）以上的单数组成，其中经济、技术等方面的专家不少于三分之二。</w:t>
      </w:r>
    </w:p>
    <w:p>
      <w:pPr>
        <w:pStyle w:val="102"/>
        <w:numPr>
          <w:ilvl w:val="0"/>
          <w:numId w:val="0"/>
        </w:numPr>
        <w:tabs>
          <w:tab w:val="left" w:pos="420"/>
        </w:tabs>
        <w:spacing w:line="400" w:lineRule="exact"/>
        <w:ind w:left="708" w:hanging="707" w:hangingChars="337"/>
      </w:pPr>
      <w:r>
        <w:rPr>
          <w:rFonts w:hint="eastAsia"/>
        </w:rPr>
        <w:t>2．   对采购文件的初审</w:t>
      </w:r>
    </w:p>
    <w:p>
      <w:pPr>
        <w:pStyle w:val="102"/>
        <w:numPr>
          <w:ilvl w:val="0"/>
          <w:numId w:val="0"/>
        </w:numPr>
        <w:spacing w:line="400" w:lineRule="exact"/>
        <w:ind w:left="630" w:hanging="630" w:hangingChars="300"/>
        <w:textAlignment w:val="auto"/>
      </w:pPr>
      <w:r>
        <w:rPr>
          <w:rFonts w:hint="eastAsia"/>
        </w:rPr>
        <w:t>2.1   开标后，评标委员会将审查采购文件是否符合采购文件的基本要求：内容是否完整、资格证明文件是否齐全、有无计算错误、文件签署是否齐全。</w:t>
      </w:r>
    </w:p>
    <w:p>
      <w:pPr>
        <w:pStyle w:val="102"/>
        <w:numPr>
          <w:ilvl w:val="0"/>
          <w:numId w:val="0"/>
        </w:numPr>
        <w:spacing w:line="400" w:lineRule="exact"/>
        <w:textAlignment w:val="auto"/>
      </w:pPr>
      <w:r>
        <w:rPr>
          <w:rFonts w:hint="eastAsia"/>
        </w:rPr>
        <w:t>2.2   在详细评标之前，评标委员会要审查每份采购文件是否实质上响应了采购文件的要求。</w:t>
      </w:r>
    </w:p>
    <w:p>
      <w:pPr>
        <w:numPr>
          <w:ilvl w:val="0"/>
          <w:numId w:val="18"/>
        </w:numPr>
        <w:spacing w:line="400" w:lineRule="exact"/>
        <w:textAlignment w:val="auto"/>
        <w:rPr>
          <w:rFonts w:ascii="宋体" w:hAnsi="宋体"/>
          <w:sz w:val="21"/>
          <w:szCs w:val="21"/>
        </w:rPr>
      </w:pPr>
      <w:r>
        <w:rPr>
          <w:rFonts w:hint="eastAsia" w:ascii="宋体" w:hAnsi="宋体"/>
          <w:sz w:val="21"/>
          <w:szCs w:val="21"/>
        </w:rPr>
        <w:t>实质上响应的投标是指与采购文件的全部条款、条件和规格相符，没有重大偏离或保留。</w:t>
      </w:r>
    </w:p>
    <w:p>
      <w:pPr>
        <w:numPr>
          <w:ilvl w:val="0"/>
          <w:numId w:val="18"/>
        </w:numPr>
        <w:spacing w:line="400" w:lineRule="exact"/>
        <w:textAlignment w:val="auto"/>
        <w:rPr>
          <w:rFonts w:ascii="宋体" w:hAnsi="宋体"/>
          <w:sz w:val="21"/>
          <w:szCs w:val="21"/>
        </w:rPr>
      </w:pPr>
      <w:r>
        <w:rPr>
          <w:rFonts w:hint="eastAsia" w:ascii="宋体" w:hAnsi="宋体"/>
          <w:sz w:val="21"/>
          <w:szCs w:val="21"/>
        </w:rPr>
        <w:t>重大偏离或保留系指投标货物的质量、数量和交货期限等明显不能满足采购文件的要求，或者实质上与采购文件不一致，而且限制了采购人的权利或服务供应商的义务，纠正这些偏离或保留将对其他实质上响应要求的服务供应商的竞争地位产生不公正的影响。包括但不限于：</w:t>
      </w:r>
    </w:p>
    <w:p>
      <w:pPr>
        <w:numPr>
          <w:ilvl w:val="0"/>
          <w:numId w:val="19"/>
        </w:numPr>
        <w:tabs>
          <w:tab w:val="left" w:pos="1200"/>
          <w:tab w:val="clear" w:pos="840"/>
        </w:tabs>
        <w:spacing w:line="400" w:lineRule="exact"/>
        <w:ind w:left="1198" w:leftChars="300" w:hanging="478" w:hangingChars="228"/>
        <w:jc w:val="both"/>
        <w:textAlignment w:val="auto"/>
        <w:rPr>
          <w:rFonts w:ascii="宋体" w:hAnsi="宋体"/>
          <w:sz w:val="21"/>
          <w:szCs w:val="21"/>
        </w:rPr>
      </w:pPr>
      <w:r>
        <w:rPr>
          <w:rFonts w:hint="eastAsia" w:ascii="宋体" w:hAnsi="宋体"/>
          <w:sz w:val="21"/>
          <w:szCs w:val="21"/>
        </w:rPr>
        <w:t>本文件“采购文件的组成及相关要求”部分中，带*部分的资格证明文件不全或无效的；</w:t>
      </w:r>
    </w:p>
    <w:p>
      <w:pPr>
        <w:numPr>
          <w:ilvl w:val="0"/>
          <w:numId w:val="19"/>
        </w:numPr>
        <w:tabs>
          <w:tab w:val="left" w:pos="1200"/>
          <w:tab w:val="clear" w:pos="840"/>
        </w:tabs>
        <w:spacing w:line="400" w:lineRule="exact"/>
        <w:ind w:left="1198" w:leftChars="300" w:hanging="478" w:hangingChars="228"/>
        <w:jc w:val="both"/>
        <w:textAlignment w:val="auto"/>
        <w:rPr>
          <w:rFonts w:ascii="宋体" w:hAnsi="宋体"/>
          <w:sz w:val="21"/>
          <w:szCs w:val="21"/>
        </w:rPr>
      </w:pPr>
      <w:r>
        <w:rPr>
          <w:rFonts w:hint="eastAsia" w:ascii="宋体" w:hAnsi="宋体"/>
          <w:sz w:val="21"/>
          <w:szCs w:val="21"/>
        </w:rPr>
        <w:t>采购文件未按采购文件的规定密封、签署、盖章的；</w:t>
      </w:r>
    </w:p>
    <w:p>
      <w:pPr>
        <w:numPr>
          <w:ilvl w:val="0"/>
          <w:numId w:val="19"/>
        </w:numPr>
        <w:tabs>
          <w:tab w:val="left" w:pos="1200"/>
          <w:tab w:val="clear" w:pos="840"/>
        </w:tabs>
        <w:spacing w:line="400" w:lineRule="exact"/>
        <w:ind w:left="1198" w:leftChars="300" w:hanging="478" w:hangingChars="228"/>
        <w:jc w:val="both"/>
        <w:textAlignment w:val="auto"/>
        <w:rPr>
          <w:rFonts w:ascii="宋体" w:hAnsi="宋体"/>
          <w:sz w:val="21"/>
          <w:szCs w:val="21"/>
        </w:rPr>
      </w:pPr>
      <w:r>
        <w:rPr>
          <w:rFonts w:hint="eastAsia" w:ascii="宋体" w:hAnsi="宋体"/>
          <w:sz w:val="21"/>
          <w:szCs w:val="21"/>
        </w:rPr>
        <w:t>投标货物性能、规格、数量、交货时间、货物包装方式、检验标准和方法、售后服务承诺等不满足采购文件中的相关要求和超出采购人可接受的偏差范围的；</w:t>
      </w:r>
    </w:p>
    <w:p>
      <w:pPr>
        <w:numPr>
          <w:ilvl w:val="0"/>
          <w:numId w:val="19"/>
        </w:numPr>
        <w:tabs>
          <w:tab w:val="left" w:pos="1200"/>
          <w:tab w:val="clear" w:pos="840"/>
        </w:tabs>
        <w:spacing w:line="400" w:lineRule="exact"/>
        <w:ind w:left="1198" w:leftChars="300" w:hanging="478" w:hangingChars="228"/>
        <w:jc w:val="both"/>
        <w:textAlignment w:val="auto"/>
        <w:rPr>
          <w:rFonts w:ascii="宋体" w:hAnsi="宋体"/>
          <w:sz w:val="21"/>
          <w:szCs w:val="21"/>
        </w:rPr>
      </w:pPr>
      <w:r>
        <w:rPr>
          <w:rFonts w:hint="eastAsia" w:ascii="宋体" w:hAnsi="宋体"/>
          <w:sz w:val="21"/>
          <w:szCs w:val="21"/>
        </w:rPr>
        <w:t>不符合采购文件中有关分包、转包规定的；</w:t>
      </w:r>
    </w:p>
    <w:p>
      <w:pPr>
        <w:numPr>
          <w:ilvl w:val="0"/>
          <w:numId w:val="19"/>
        </w:numPr>
        <w:tabs>
          <w:tab w:val="left" w:pos="1200"/>
          <w:tab w:val="clear" w:pos="840"/>
        </w:tabs>
        <w:spacing w:line="400" w:lineRule="exact"/>
        <w:ind w:left="1198" w:leftChars="300" w:hanging="478" w:hangingChars="228"/>
        <w:jc w:val="both"/>
        <w:textAlignment w:val="auto"/>
        <w:rPr>
          <w:rFonts w:ascii="宋体" w:hAnsi="宋体"/>
          <w:sz w:val="21"/>
          <w:szCs w:val="21"/>
        </w:rPr>
      </w:pPr>
      <w:r>
        <w:rPr>
          <w:rFonts w:hint="eastAsia" w:ascii="宋体" w:hAnsi="宋体"/>
          <w:sz w:val="21"/>
          <w:szCs w:val="21"/>
        </w:rPr>
        <w:t>采购文件附有采购人不能接受的条件；</w:t>
      </w:r>
    </w:p>
    <w:p>
      <w:pPr>
        <w:numPr>
          <w:ilvl w:val="0"/>
          <w:numId w:val="19"/>
        </w:numPr>
        <w:tabs>
          <w:tab w:val="left" w:pos="1200"/>
          <w:tab w:val="clear" w:pos="840"/>
        </w:tabs>
        <w:spacing w:line="400" w:lineRule="exact"/>
        <w:ind w:left="1198" w:leftChars="300" w:hanging="478" w:hangingChars="228"/>
        <w:jc w:val="both"/>
        <w:textAlignment w:val="auto"/>
        <w:rPr>
          <w:rFonts w:ascii="宋体" w:hAnsi="宋体"/>
          <w:sz w:val="21"/>
          <w:szCs w:val="21"/>
        </w:rPr>
      </w:pPr>
      <w:r>
        <w:rPr>
          <w:rFonts w:hint="eastAsia" w:ascii="宋体" w:hAnsi="宋体"/>
          <w:sz w:val="21"/>
          <w:szCs w:val="21"/>
        </w:rPr>
        <w:t>不符合采购文件中规定的其他实质性要求。</w:t>
      </w:r>
    </w:p>
    <w:p>
      <w:pPr>
        <w:numPr>
          <w:ilvl w:val="0"/>
          <w:numId w:val="18"/>
        </w:numPr>
        <w:spacing w:line="400" w:lineRule="exact"/>
        <w:textAlignment w:val="auto"/>
        <w:rPr>
          <w:rFonts w:ascii="宋体" w:hAnsi="宋体"/>
          <w:sz w:val="21"/>
          <w:szCs w:val="21"/>
        </w:rPr>
      </w:pPr>
      <w:r>
        <w:rPr>
          <w:rFonts w:hint="eastAsia" w:ascii="宋体" w:hAnsi="宋体"/>
          <w:sz w:val="21"/>
          <w:szCs w:val="21"/>
        </w:rPr>
        <w:t>重大偏离不允许在开标后修正，但评标委员会将允许修正投标中不构成重大偏离的地方，这些修正不会对其他实质上响应采购文件要求的服务供应商的竞争地位产生不公正的影响。</w:t>
      </w:r>
    </w:p>
    <w:p>
      <w:pPr>
        <w:numPr>
          <w:ilvl w:val="0"/>
          <w:numId w:val="18"/>
        </w:numPr>
        <w:spacing w:line="400" w:lineRule="exact"/>
        <w:textAlignment w:val="auto"/>
        <w:rPr>
          <w:rFonts w:ascii="宋体" w:hAnsi="宋体"/>
          <w:sz w:val="21"/>
          <w:szCs w:val="21"/>
        </w:rPr>
      </w:pPr>
      <w:r>
        <w:rPr>
          <w:rFonts w:hint="eastAsia" w:ascii="宋体" w:hAnsi="宋体"/>
          <w:sz w:val="21"/>
          <w:szCs w:val="21"/>
        </w:rPr>
        <w:t>如果采购文件实质上没有响应采购文件的要求，评标委员会有可能拒绝其投标，服务供应商不得再对采购文件进行任何修正从而使其投标成为实质上响应的投标。</w:t>
      </w:r>
    </w:p>
    <w:p>
      <w:pPr>
        <w:pStyle w:val="102"/>
        <w:numPr>
          <w:ilvl w:val="0"/>
          <w:numId w:val="0"/>
        </w:numPr>
        <w:tabs>
          <w:tab w:val="left" w:pos="420"/>
        </w:tabs>
        <w:spacing w:line="400" w:lineRule="exact"/>
      </w:pPr>
      <w:r>
        <w:rPr>
          <w:rFonts w:hint="eastAsia"/>
        </w:rPr>
        <w:t xml:space="preserve">2.3   初审中，对明显的文字和计算错误按下述原则处理： </w:t>
      </w:r>
    </w:p>
    <w:p>
      <w:pPr>
        <w:pStyle w:val="102"/>
        <w:numPr>
          <w:ilvl w:val="0"/>
          <w:numId w:val="0"/>
        </w:numPr>
        <w:tabs>
          <w:tab w:val="left" w:pos="420"/>
        </w:tabs>
        <w:spacing w:line="400" w:lineRule="exact"/>
        <w:ind w:left="843" w:leftChars="220" w:hanging="315" w:hangingChars="150"/>
      </w:pPr>
      <w:r>
        <w:rPr>
          <w:rFonts w:hint="eastAsia"/>
        </w:rPr>
        <w:t>(1)如果正本与副本或电子文档不一致，以正本为准；开标一览表的正本之间如有差异，按投标无效处理；开标一览表内容与采购文件中明细表内容不一致的,以开标一览表为准。</w:t>
      </w:r>
    </w:p>
    <w:p>
      <w:pPr>
        <w:spacing w:line="400" w:lineRule="exact"/>
        <w:ind w:left="843" w:leftChars="220" w:hanging="315" w:hangingChars="150"/>
        <w:rPr>
          <w:rFonts w:ascii="宋体" w:hAnsi="宋体"/>
          <w:sz w:val="21"/>
          <w:szCs w:val="21"/>
        </w:rPr>
      </w:pPr>
      <w:r>
        <w:rPr>
          <w:rFonts w:hint="eastAsia" w:ascii="宋体" w:hAnsi="宋体"/>
          <w:sz w:val="21"/>
          <w:szCs w:val="21"/>
        </w:rPr>
        <w:t>(2)如果以文字表示的数据与数字表示的有差别，以文字为准修正数字。如果大小写金额不一致的，以大写金额为准。</w:t>
      </w:r>
    </w:p>
    <w:p>
      <w:pPr>
        <w:spacing w:line="400" w:lineRule="exact"/>
        <w:ind w:left="901" w:leftChars="244" w:hanging="315" w:hangingChars="150"/>
        <w:rPr>
          <w:rFonts w:ascii="宋体" w:hAnsi="宋体"/>
          <w:sz w:val="21"/>
          <w:szCs w:val="21"/>
        </w:rPr>
      </w:pPr>
      <w:r>
        <w:rPr>
          <w:rFonts w:hint="eastAsia" w:ascii="宋体" w:hAnsi="宋体"/>
          <w:sz w:val="21"/>
          <w:szCs w:val="21"/>
        </w:rPr>
        <w:t>(3)如果单价乘以数量不等于总价，以单价为准修正总价，但单价金额小数点有明显错误的,应以总价为准，并修改单价。如果明细价格相加不等于汇总价格，以明细价格为准。</w:t>
      </w:r>
    </w:p>
    <w:p>
      <w:pPr>
        <w:spacing w:line="400" w:lineRule="exact"/>
        <w:ind w:left="480" w:leftChars="200" w:firstLine="105" w:firstLineChars="50"/>
        <w:rPr>
          <w:rFonts w:ascii="宋体" w:hAnsi="宋体"/>
          <w:sz w:val="21"/>
          <w:szCs w:val="21"/>
        </w:rPr>
      </w:pPr>
      <w:r>
        <w:rPr>
          <w:rFonts w:hint="eastAsia" w:ascii="宋体" w:hAnsi="宋体"/>
          <w:sz w:val="21"/>
          <w:szCs w:val="21"/>
        </w:rPr>
        <w:t>(4)调整后的数据应对服务供应商具有约束力，服务供应商不同意以上修正，其投标将被拒绝。</w:t>
      </w:r>
    </w:p>
    <w:p>
      <w:pPr>
        <w:spacing w:line="400" w:lineRule="exact"/>
        <w:rPr>
          <w:rFonts w:ascii="宋体" w:hAnsi="宋体"/>
          <w:sz w:val="21"/>
          <w:szCs w:val="21"/>
        </w:rPr>
      </w:pPr>
      <w:r>
        <w:rPr>
          <w:rFonts w:hint="eastAsia" w:ascii="宋体" w:hAnsi="宋体"/>
          <w:sz w:val="21"/>
          <w:szCs w:val="21"/>
        </w:rPr>
        <w:t>2.4   评标委员会对采购文件的判定,只依据采购文件内容本身,不依据任何外来证明。</w:t>
      </w:r>
    </w:p>
    <w:p>
      <w:pPr>
        <w:spacing w:line="400" w:lineRule="exact"/>
        <w:textAlignment w:val="auto"/>
        <w:rPr>
          <w:sz w:val="21"/>
          <w:szCs w:val="21"/>
        </w:rPr>
      </w:pPr>
      <w:r>
        <w:rPr>
          <w:rFonts w:hint="eastAsia"/>
          <w:sz w:val="21"/>
          <w:szCs w:val="21"/>
        </w:rPr>
        <w:t>3    投标的澄清</w:t>
      </w:r>
    </w:p>
    <w:p>
      <w:pPr>
        <w:spacing w:line="400" w:lineRule="exact"/>
        <w:ind w:left="630" w:hanging="630" w:hangingChars="300"/>
        <w:textAlignment w:val="auto"/>
        <w:rPr>
          <w:sz w:val="21"/>
          <w:szCs w:val="21"/>
        </w:rPr>
      </w:pPr>
      <w:r>
        <w:rPr>
          <w:rFonts w:hint="eastAsia"/>
          <w:sz w:val="21"/>
          <w:szCs w:val="21"/>
        </w:rPr>
        <w:t>3.1   评标委员会有权要求服务供应商对采购文件中含义不明确、对同类问题表述不一致或者有明显文字和计算错误等内容作必要的澄清、说明或者补正。该要求应当采用书面形式</w:t>
      </w:r>
      <w:r>
        <w:rPr>
          <w:sz w:val="21"/>
          <w:szCs w:val="21"/>
        </w:rPr>
        <w:t>,</w:t>
      </w:r>
      <w:r>
        <w:rPr>
          <w:rFonts w:hint="eastAsia"/>
          <w:sz w:val="21"/>
          <w:szCs w:val="21"/>
        </w:rPr>
        <w:t>并由评标委员会专家签字。</w:t>
      </w:r>
    </w:p>
    <w:p>
      <w:pPr>
        <w:spacing w:line="400" w:lineRule="exact"/>
        <w:ind w:left="630" w:hanging="630" w:hangingChars="300"/>
        <w:textAlignment w:val="auto"/>
        <w:rPr>
          <w:rFonts w:ascii="宋体" w:hAnsi="宋体"/>
          <w:sz w:val="21"/>
          <w:szCs w:val="21"/>
        </w:rPr>
      </w:pPr>
      <w:r>
        <w:rPr>
          <w:rFonts w:hint="eastAsia"/>
          <w:sz w:val="21"/>
          <w:szCs w:val="21"/>
        </w:rPr>
        <w:t>3.2   服务供应商必须按照评标委员会通知的内容和时间做出书面答复，该答复经法定代表人或服务供应商代表的签字认可，将作为采购文件内容的一部分。澄清、说明或者补正不得超出采购文件的范围或者改变采购文件的实质性内容。服务供应商拒不按照要求对采购文件进行澄清、说明或者补正的，评标委员会可拒绝该投标。</w:t>
      </w:r>
    </w:p>
    <w:p>
      <w:pPr>
        <w:spacing w:line="400" w:lineRule="exact"/>
        <w:ind w:left="630" w:hanging="630" w:hangingChars="300"/>
        <w:textAlignment w:val="auto"/>
        <w:rPr>
          <w:rFonts w:ascii="宋体" w:hAnsi="宋体"/>
          <w:sz w:val="21"/>
          <w:szCs w:val="21"/>
        </w:rPr>
      </w:pPr>
      <w:r>
        <w:rPr>
          <w:rFonts w:hint="eastAsia"/>
          <w:sz w:val="21"/>
          <w:szCs w:val="21"/>
        </w:rPr>
        <w:t>3.3   如评标委员会一致认为某个服务供应商的报价明显不合理，有降低质量、不能诚信履行的可能时，评标委员会有权</w:t>
      </w:r>
      <w:r>
        <w:rPr>
          <w:rFonts w:hint="eastAsia" w:ascii="宋体" w:hAnsi="宋体"/>
          <w:sz w:val="21"/>
        </w:rPr>
        <w:t>决定是否</w:t>
      </w:r>
      <w:r>
        <w:rPr>
          <w:rFonts w:hint="eastAsia"/>
          <w:sz w:val="21"/>
          <w:szCs w:val="21"/>
        </w:rPr>
        <w:t>通知服务供应商限期进行书面解释或提供相关证明材料。若</w:t>
      </w:r>
      <w:r>
        <w:rPr>
          <w:rFonts w:hint="eastAsia" w:ascii="宋体" w:hAnsi="宋体"/>
          <w:sz w:val="21"/>
        </w:rPr>
        <w:t>已要求，而</w:t>
      </w:r>
      <w:r>
        <w:rPr>
          <w:rFonts w:hint="eastAsia"/>
          <w:sz w:val="21"/>
          <w:szCs w:val="21"/>
        </w:rPr>
        <w:t>该服务供应商在规定期限内未做出解释、作出的解释不合理或不能提供证明材料的，经评标委员会取得一致意见后，可拒绝该投标。</w:t>
      </w:r>
    </w:p>
    <w:p>
      <w:pPr>
        <w:pStyle w:val="102"/>
        <w:numPr>
          <w:ilvl w:val="0"/>
          <w:numId w:val="0"/>
        </w:numPr>
        <w:tabs>
          <w:tab w:val="left" w:pos="420"/>
        </w:tabs>
        <w:spacing w:line="400" w:lineRule="exact"/>
      </w:pPr>
      <w:r>
        <w:rPr>
          <w:rFonts w:hint="eastAsia"/>
        </w:rPr>
        <w:t>4.    对采购文件的详细评审</w:t>
      </w:r>
    </w:p>
    <w:p>
      <w:pPr>
        <w:pStyle w:val="102"/>
        <w:numPr>
          <w:ilvl w:val="0"/>
          <w:numId w:val="0"/>
        </w:numPr>
        <w:tabs>
          <w:tab w:val="left" w:pos="420"/>
        </w:tabs>
        <w:spacing w:line="400" w:lineRule="exact"/>
        <w:ind w:left="630" w:hanging="630" w:hangingChars="300"/>
      </w:pPr>
      <w:r>
        <w:rPr>
          <w:rFonts w:hint="eastAsia"/>
        </w:rPr>
        <w:t>4.1   评标委员会只对实质上响应采购文件的投标进行评价和比较；评审应严格按照采购文件的要求和条件进行；具体评审原则、方法和中标条件详见采购文件</w:t>
      </w:r>
      <w:r>
        <w:rPr>
          <w:rFonts w:hint="eastAsia"/>
          <w:u w:val="single"/>
        </w:rPr>
        <w:t>第四部分“评标细则和评分办法</w:t>
      </w:r>
      <w:r>
        <w:rPr>
          <w:rFonts w:hint="eastAsia"/>
        </w:rPr>
        <w:t>”。</w:t>
      </w:r>
    </w:p>
    <w:p>
      <w:pPr>
        <w:spacing w:line="400" w:lineRule="exact"/>
        <w:ind w:left="630" w:hanging="630" w:hangingChars="300"/>
        <w:rPr>
          <w:rFonts w:ascii="宋体" w:hAnsi="宋体"/>
          <w:sz w:val="21"/>
          <w:szCs w:val="21"/>
        </w:rPr>
      </w:pPr>
      <w:r>
        <w:rPr>
          <w:rFonts w:hint="eastAsia" w:ascii="宋体" w:hAnsi="宋体"/>
          <w:sz w:val="21"/>
          <w:szCs w:val="21"/>
        </w:rPr>
        <w:t>4.2   评标应严格按照采购文件规定和评标细则、方法和中标条件进行，服务供应商可对任何擅自改变本采购文件中所公布的规则、评标标准、方法和中标条件的行为进行质疑或投诉。</w:t>
      </w:r>
    </w:p>
    <w:p>
      <w:pPr>
        <w:pStyle w:val="102"/>
        <w:numPr>
          <w:ilvl w:val="0"/>
          <w:numId w:val="0"/>
        </w:numPr>
        <w:tabs>
          <w:tab w:val="left" w:pos="420"/>
        </w:tabs>
        <w:spacing w:line="400" w:lineRule="exact"/>
      </w:pPr>
      <w:r>
        <w:rPr>
          <w:rFonts w:hint="eastAsia"/>
        </w:rPr>
        <w:t>5.    确定中标人</w:t>
      </w:r>
    </w:p>
    <w:p>
      <w:pPr>
        <w:pStyle w:val="102"/>
        <w:numPr>
          <w:ilvl w:val="0"/>
          <w:numId w:val="0"/>
        </w:numPr>
        <w:tabs>
          <w:tab w:val="left" w:pos="420"/>
        </w:tabs>
        <w:spacing w:line="400" w:lineRule="exact"/>
      </w:pPr>
      <w:r>
        <w:rPr>
          <w:rFonts w:hint="eastAsia"/>
        </w:rPr>
        <w:t>5.1   评标委员会根据详细评审的结果确定一至三人为中标候选人，并标明排列顺序。</w:t>
      </w:r>
    </w:p>
    <w:p>
      <w:pPr>
        <w:pStyle w:val="102"/>
        <w:numPr>
          <w:ilvl w:val="0"/>
          <w:numId w:val="0"/>
        </w:numPr>
        <w:tabs>
          <w:tab w:val="left" w:pos="420"/>
          <w:tab w:val="left" w:pos="567"/>
        </w:tabs>
        <w:spacing w:line="400" w:lineRule="exact"/>
        <w:ind w:left="630" w:hanging="630" w:hangingChars="300"/>
      </w:pPr>
      <w:r>
        <w:rPr>
          <w:rFonts w:hint="eastAsia"/>
        </w:rPr>
        <w:t>5.2   排名在前的中标候选人因不可抗力或者自身原因不能履行合同，或者本文件规定应当提交履约保函或保证金而在规定期限未能提交的，采购人将把合同授予排名下一位的中标候选人。</w:t>
      </w:r>
    </w:p>
    <w:p>
      <w:pPr>
        <w:pStyle w:val="102"/>
        <w:numPr>
          <w:ilvl w:val="0"/>
          <w:numId w:val="0"/>
        </w:numPr>
        <w:tabs>
          <w:tab w:val="left" w:pos="420"/>
        </w:tabs>
        <w:spacing w:line="400" w:lineRule="exact"/>
      </w:pPr>
      <w:r>
        <w:rPr>
          <w:rFonts w:hint="eastAsia"/>
        </w:rPr>
        <w:t>6.    评标过程保密</w:t>
      </w:r>
    </w:p>
    <w:p>
      <w:pPr>
        <w:pStyle w:val="102"/>
        <w:numPr>
          <w:ilvl w:val="0"/>
          <w:numId w:val="0"/>
        </w:numPr>
        <w:tabs>
          <w:tab w:val="left" w:pos="420"/>
        </w:tabs>
        <w:spacing w:line="400" w:lineRule="exact"/>
        <w:ind w:left="630" w:hanging="630" w:hangingChars="300"/>
      </w:pPr>
      <w:r>
        <w:rPr>
          <w:rFonts w:hint="eastAsia"/>
        </w:rPr>
        <w:t>6.1   开标之后，直到授予服务供应商合同止，凡是属于审查、澄清、评价和比较投标的有关资料以及授标意向等，均不向服务供应商或其他与评标无关的人员透露。</w:t>
      </w:r>
    </w:p>
    <w:p>
      <w:pPr>
        <w:pStyle w:val="102"/>
        <w:numPr>
          <w:ilvl w:val="0"/>
          <w:numId w:val="0"/>
        </w:numPr>
        <w:tabs>
          <w:tab w:val="left" w:pos="420"/>
        </w:tabs>
        <w:spacing w:line="400" w:lineRule="exact"/>
        <w:ind w:left="630" w:hanging="630" w:hangingChars="300"/>
      </w:pPr>
      <w:r>
        <w:rPr>
          <w:rFonts w:hint="eastAsia"/>
        </w:rPr>
        <w:t>6.2   在评标期间，服务供应商企图影响评标委员会的任何活动，将可能导致投标被拒绝，并由其承担相应的法律责任。</w:t>
      </w:r>
    </w:p>
    <w:p>
      <w:pPr>
        <w:pStyle w:val="102"/>
        <w:numPr>
          <w:ilvl w:val="0"/>
          <w:numId w:val="0"/>
        </w:numPr>
        <w:tabs>
          <w:tab w:val="left" w:pos="420"/>
        </w:tabs>
        <w:spacing w:line="400" w:lineRule="exact"/>
        <w:ind w:left="709" w:hanging="709"/>
        <w:rPr>
          <w:sz w:val="24"/>
        </w:rPr>
      </w:pPr>
      <w:r>
        <w:rPr>
          <w:rFonts w:hint="eastAsia"/>
        </w:rPr>
        <w:t>6.3   关于服务供应商瑕疵滞后发现的处理规则：</w:t>
      </w:r>
    </w:p>
    <w:p>
      <w:pPr>
        <w:pStyle w:val="102"/>
        <w:numPr>
          <w:ilvl w:val="0"/>
          <w:numId w:val="0"/>
        </w:numPr>
        <w:tabs>
          <w:tab w:val="left" w:pos="420"/>
        </w:tabs>
        <w:spacing w:line="400" w:lineRule="exact"/>
        <w:ind w:left="600" w:leftChars="250"/>
      </w:pPr>
      <w:r>
        <w:rPr>
          <w:rFonts w:hint="eastAsia"/>
        </w:rPr>
        <w:t>(1) 无论基于何种原因，各项本应作拒绝处理的情形即便未被及时发现而使该服务供应商进入初审、详细评审或其它后续程序，包括已经签约的情形，一旦在任何时间被发现存在上述情形，则采购人均有权随时视情形决定是否取消该服务供应商的此前评议结果，或随时视情形决定是否对该投标予以拒绝，并有权决定采取相应的补救及/或纠正措施。一旦该等服务供应商被拒绝或被取消该服务供应商的此前评议结果，其现有的位置将被其他服务供应商依序替代，相关的一切损失均由该等服务供应商承担。</w:t>
      </w:r>
    </w:p>
    <w:p>
      <w:pPr>
        <w:pStyle w:val="102"/>
        <w:numPr>
          <w:ilvl w:val="0"/>
          <w:numId w:val="0"/>
        </w:numPr>
        <w:tabs>
          <w:tab w:val="left" w:pos="420"/>
        </w:tabs>
        <w:spacing w:line="400" w:lineRule="exact"/>
        <w:ind w:left="600" w:leftChars="250"/>
      </w:pPr>
      <w:r>
        <w:rPr>
          <w:rFonts w:hint="eastAsia"/>
        </w:rPr>
        <w:t>(2) 但若已经超过质疑期限而没有被发现且已经签署了相关的合同，之后才发现存在上述情形，经采购人再行审查认为其在技术、必要资质等方面并不存在问题而仅属于商务方面存在瑕疵的问题，且若一旦取消该服务供应商的此前评议结果或采取类似效果的处理措施将对本次采购更为不利的情形除外，该等情形例如一旦予以拒绝或采取类似效果的处理措施将使本次采购的成本大幅上升、延误期限以至可能给用户造成较大损失、采购人或主要用户出具不明确要求维持既定结果的书面意见等。</w:t>
      </w:r>
    </w:p>
    <w:p>
      <w:pPr>
        <w:pStyle w:val="102"/>
        <w:numPr>
          <w:ilvl w:val="0"/>
          <w:numId w:val="0"/>
        </w:numPr>
        <w:tabs>
          <w:tab w:val="left" w:pos="420"/>
        </w:tabs>
        <w:spacing w:line="400" w:lineRule="exact"/>
        <w:ind w:left="600" w:leftChars="250"/>
      </w:pPr>
      <w:r>
        <w:rPr>
          <w:rFonts w:hint="eastAsia"/>
        </w:rPr>
        <w:t>(3) 在上述准备考虑维持结果的情形下，采购人有权要求该存在瑕疵的服务供应商提供特别担保金用以承担可能产生的赔偿责任，若其拒绝提供该等担保或所实际提供的担保金额不足要求金额，采购人有权并且应当决定取消该服务供应商的此前评议结果或采取类似效果的措施。</w:t>
      </w:r>
    </w:p>
    <w:p>
      <w:pPr>
        <w:pStyle w:val="102"/>
        <w:numPr>
          <w:ilvl w:val="0"/>
          <w:numId w:val="0"/>
        </w:numPr>
        <w:tabs>
          <w:tab w:val="left" w:pos="420"/>
        </w:tabs>
        <w:spacing w:line="400" w:lineRule="exact"/>
      </w:pPr>
      <w:r>
        <w:rPr>
          <w:rFonts w:hint="eastAsia"/>
        </w:rPr>
        <w:t>7.    废标</w:t>
      </w:r>
    </w:p>
    <w:p>
      <w:pPr>
        <w:pStyle w:val="102"/>
        <w:numPr>
          <w:ilvl w:val="0"/>
          <w:numId w:val="0"/>
        </w:numPr>
        <w:tabs>
          <w:tab w:val="left" w:pos="420"/>
        </w:tabs>
        <w:spacing w:line="400" w:lineRule="exact"/>
        <w:ind w:left="710" w:leftChars="220" w:hanging="182" w:hangingChars="87"/>
      </w:pPr>
      <w:r>
        <w:rPr>
          <w:rFonts w:hint="eastAsia"/>
        </w:rPr>
        <w:t>出现下列情况之一时，评标委员会有权宣布废标，并将理由通知所有服务供应商：</w:t>
      </w:r>
    </w:p>
    <w:p>
      <w:pPr>
        <w:pStyle w:val="102"/>
        <w:numPr>
          <w:ilvl w:val="0"/>
          <w:numId w:val="0"/>
        </w:numPr>
        <w:tabs>
          <w:tab w:val="left" w:pos="420"/>
        </w:tabs>
        <w:spacing w:line="400" w:lineRule="exact"/>
        <w:ind w:left="420"/>
        <w:rPr>
          <w:color w:val="000000" w:themeColor="text1"/>
          <w14:textFill>
            <w14:solidFill>
              <w14:schemeClr w14:val="tx1"/>
            </w14:solidFill>
          </w14:textFill>
        </w:rPr>
      </w:pPr>
      <w:r>
        <w:rPr>
          <w:rFonts w:hint="eastAsia"/>
          <w:color w:val="000000" w:themeColor="text1"/>
          <w14:textFill>
            <w14:solidFill>
              <w14:schemeClr w14:val="tx1"/>
            </w14:solidFill>
          </w14:textFill>
        </w:rPr>
        <w:t>（1）  出现影响采购公正的违法、违规行为的；</w:t>
      </w:r>
    </w:p>
    <w:p>
      <w:pPr>
        <w:pStyle w:val="102"/>
        <w:numPr>
          <w:ilvl w:val="0"/>
          <w:numId w:val="0"/>
        </w:numPr>
        <w:tabs>
          <w:tab w:val="left" w:pos="420"/>
        </w:tabs>
        <w:spacing w:line="400" w:lineRule="exact"/>
        <w:ind w:left="420"/>
        <w:rPr>
          <w:color w:val="000000" w:themeColor="text1"/>
          <w14:textFill>
            <w14:solidFill>
              <w14:schemeClr w14:val="tx1"/>
            </w14:solidFill>
          </w14:textFill>
        </w:rPr>
      </w:pPr>
      <w:r>
        <w:rPr>
          <w:rFonts w:hint="eastAsia"/>
          <w:color w:val="000000" w:themeColor="text1"/>
          <w14:textFill>
            <w14:solidFill>
              <w14:schemeClr w14:val="tx1"/>
            </w14:solidFill>
          </w14:textFill>
        </w:rPr>
        <w:t>（2）  服务供应商的报价均超过了采购预算，采购人不能支付的；</w:t>
      </w:r>
    </w:p>
    <w:p>
      <w:pPr>
        <w:pStyle w:val="102"/>
        <w:numPr>
          <w:ilvl w:val="0"/>
          <w:numId w:val="0"/>
        </w:numPr>
        <w:tabs>
          <w:tab w:val="left" w:pos="420"/>
        </w:tabs>
        <w:spacing w:line="400" w:lineRule="exact"/>
        <w:ind w:left="420"/>
      </w:pPr>
      <w:r>
        <w:rPr>
          <w:rFonts w:hint="eastAsia"/>
        </w:rPr>
        <w:t>（3）  因重大变故，采购任务取消的。</w:t>
      </w:r>
    </w:p>
    <w:p>
      <w:pPr>
        <w:pStyle w:val="125"/>
        <w:numPr>
          <w:ilvl w:val="0"/>
          <w:numId w:val="0"/>
        </w:numPr>
        <w:tabs>
          <w:tab w:val="left" w:pos="720"/>
        </w:tabs>
        <w:textAlignment w:val="auto"/>
        <w:rPr>
          <w:color w:val="auto"/>
        </w:rPr>
      </w:pPr>
      <w:bookmarkStart w:id="69" w:name="_Toc87373377"/>
      <w:bookmarkStart w:id="70" w:name="_Toc87810230"/>
      <w:bookmarkStart w:id="71" w:name="_Toc99718126"/>
      <w:bookmarkStart w:id="72" w:name="_Toc87373477"/>
      <w:bookmarkStart w:id="73" w:name="_Toc99881741"/>
      <w:bookmarkStart w:id="74" w:name="_Toc108276724"/>
      <w:bookmarkStart w:id="75" w:name="_Toc116879925"/>
      <w:r>
        <w:rPr>
          <w:rFonts w:hint="eastAsia"/>
          <w:color w:val="auto"/>
        </w:rPr>
        <w:t>七、 签订合同</w:t>
      </w:r>
      <w:bookmarkEnd w:id="69"/>
      <w:bookmarkEnd w:id="70"/>
      <w:bookmarkEnd w:id="71"/>
      <w:bookmarkEnd w:id="72"/>
      <w:bookmarkEnd w:id="73"/>
      <w:bookmarkEnd w:id="74"/>
      <w:bookmarkEnd w:id="75"/>
    </w:p>
    <w:p>
      <w:pPr>
        <w:pStyle w:val="102"/>
        <w:numPr>
          <w:ilvl w:val="0"/>
          <w:numId w:val="0"/>
        </w:numPr>
        <w:tabs>
          <w:tab w:val="left" w:pos="420"/>
        </w:tabs>
        <w:spacing w:line="400" w:lineRule="exact"/>
      </w:pPr>
      <w:r>
        <w:rPr>
          <w:rFonts w:hint="eastAsia"/>
        </w:rPr>
        <w:t>1.   中标通知</w:t>
      </w:r>
    </w:p>
    <w:p>
      <w:pPr>
        <w:pStyle w:val="102"/>
        <w:numPr>
          <w:ilvl w:val="0"/>
          <w:numId w:val="0"/>
        </w:numPr>
        <w:tabs>
          <w:tab w:val="left" w:pos="420"/>
        </w:tabs>
        <w:spacing w:line="400" w:lineRule="exact"/>
        <w:ind w:left="525" w:hanging="525" w:hangingChars="250"/>
      </w:pPr>
      <w:r>
        <w:rPr>
          <w:rFonts w:hint="eastAsia"/>
        </w:rPr>
        <w:t>1.1  中标人确定后,以邮寄或传真等书面形式向中标人发出中标通知书，但该中标结果的有效性不依赖于未中标的服务供应商是否已经收到该通知。中标通知书对采购人和中标人具有同等法律效力。中标通知书发出后，采购人改变中标结果或者中标供应商放弃中标，应当承担相应的法律责任。</w:t>
      </w:r>
    </w:p>
    <w:p>
      <w:pPr>
        <w:pStyle w:val="102"/>
        <w:numPr>
          <w:ilvl w:val="0"/>
          <w:numId w:val="0"/>
        </w:numPr>
        <w:tabs>
          <w:tab w:val="left" w:pos="420"/>
        </w:tabs>
        <w:spacing w:line="400" w:lineRule="exact"/>
        <w:ind w:left="635" w:leftChars="2" w:hanging="630" w:hangingChars="300"/>
      </w:pPr>
      <w:r>
        <w:rPr>
          <w:rFonts w:hint="eastAsia"/>
        </w:rPr>
        <w:t>1.2  采购代理同时向其他服务供应商发出未中标通知书。采购代理对未中标的服务供应商不作未中标原因的解释。</w:t>
      </w:r>
    </w:p>
    <w:p>
      <w:pPr>
        <w:pStyle w:val="102"/>
        <w:numPr>
          <w:ilvl w:val="0"/>
          <w:numId w:val="0"/>
        </w:numPr>
        <w:tabs>
          <w:tab w:val="left" w:pos="420"/>
        </w:tabs>
        <w:spacing w:line="400" w:lineRule="exact"/>
        <w:ind w:left="708" w:hanging="707" w:hangingChars="337"/>
      </w:pPr>
      <w:r>
        <w:rPr>
          <w:rFonts w:hint="eastAsia"/>
        </w:rPr>
        <w:t>1.3  中标通知书是合同的组成部分。</w:t>
      </w:r>
    </w:p>
    <w:p>
      <w:pPr>
        <w:pStyle w:val="102"/>
        <w:numPr>
          <w:ilvl w:val="0"/>
          <w:numId w:val="0"/>
        </w:numPr>
        <w:tabs>
          <w:tab w:val="left" w:pos="420"/>
        </w:tabs>
        <w:spacing w:line="400" w:lineRule="exact"/>
      </w:pPr>
      <w:r>
        <w:rPr>
          <w:rFonts w:hint="eastAsia"/>
        </w:rPr>
        <w:t>2.   签订合同</w:t>
      </w:r>
    </w:p>
    <w:p>
      <w:pPr>
        <w:pStyle w:val="102"/>
        <w:numPr>
          <w:ilvl w:val="0"/>
          <w:numId w:val="0"/>
        </w:numPr>
        <w:tabs>
          <w:tab w:val="left" w:pos="420"/>
        </w:tabs>
        <w:spacing w:line="400" w:lineRule="exact"/>
        <w:ind w:left="630" w:hanging="630" w:hangingChars="300"/>
      </w:pPr>
      <w:r>
        <w:rPr>
          <w:rFonts w:hint="eastAsia"/>
        </w:rPr>
        <w:t>2.1  中标人应按采购代理规定的时间、地点与采购人签订中标合同。</w:t>
      </w:r>
    </w:p>
    <w:p>
      <w:pPr>
        <w:pStyle w:val="102"/>
        <w:numPr>
          <w:ilvl w:val="0"/>
          <w:numId w:val="0"/>
        </w:numPr>
        <w:tabs>
          <w:tab w:val="left" w:pos="420"/>
        </w:tabs>
        <w:spacing w:line="400" w:lineRule="exact"/>
        <w:ind w:left="525" w:hanging="525" w:hangingChars="250"/>
      </w:pPr>
      <w:r>
        <w:rPr>
          <w:rFonts w:hint="eastAsia"/>
        </w:rPr>
        <w:t>2.2  中标人应按照采购文件、采购文件及评标过程中的有关澄清、说明或者补正文件的内容与采购人签订合同。中标人不得再与采购人签订背离合同实质性内容的其它协议或声明。</w:t>
      </w:r>
    </w:p>
    <w:p>
      <w:pPr>
        <w:pStyle w:val="102"/>
        <w:numPr>
          <w:ilvl w:val="0"/>
          <w:numId w:val="0"/>
        </w:numPr>
        <w:tabs>
          <w:tab w:val="left" w:pos="420"/>
        </w:tabs>
        <w:spacing w:line="400" w:lineRule="exact"/>
        <w:ind w:left="525" w:hanging="525" w:hangingChars="250"/>
      </w:pPr>
      <w:r>
        <w:rPr>
          <w:rFonts w:hint="eastAsia"/>
        </w:rPr>
        <w:t>2.3  采购人如需追加与合同标的相同的货物，在不改变合同其他条款的前提下，中标人可与采购人协商签订补充合同，但所有补充合同的采购金额不得超过原合同金额的百分之十。</w:t>
      </w:r>
    </w:p>
    <w:p>
      <w:pPr>
        <w:pStyle w:val="102"/>
        <w:numPr>
          <w:ilvl w:val="0"/>
          <w:numId w:val="0"/>
        </w:numPr>
        <w:tabs>
          <w:tab w:val="left" w:pos="420"/>
        </w:tabs>
        <w:spacing w:line="400" w:lineRule="exact"/>
        <w:ind w:left="525" w:hanging="525" w:hangingChars="250"/>
      </w:pPr>
      <w:r>
        <w:rPr>
          <w:rFonts w:hint="eastAsia"/>
        </w:rPr>
        <w:t>2.4  中标人一旦中标，及签订合同后，未经采购代理事先给予书面同意不得转包、分包，亦不得将合同全部及任何权利、义务向第三方转让，否则将被视为严重违约，有权决定按照中标人中标后毁标、终止或解除合同等依约处理。</w:t>
      </w:r>
    </w:p>
    <w:p>
      <w:pPr>
        <w:pStyle w:val="102"/>
        <w:numPr>
          <w:ilvl w:val="0"/>
          <w:numId w:val="0"/>
        </w:numPr>
        <w:tabs>
          <w:tab w:val="left" w:pos="420"/>
        </w:tabs>
        <w:spacing w:line="400" w:lineRule="exact"/>
        <w:ind w:left="630" w:hanging="630" w:hangingChars="300"/>
      </w:pPr>
      <w:r>
        <w:rPr>
          <w:rFonts w:hint="eastAsia"/>
        </w:rPr>
        <w:t>2.5  不按约定签定或履行合同，给对方造成损失的，应承担赔偿责任。</w:t>
      </w:r>
    </w:p>
    <w:p>
      <w:pPr>
        <w:pStyle w:val="102"/>
        <w:numPr>
          <w:ilvl w:val="0"/>
          <w:numId w:val="0"/>
        </w:numPr>
        <w:tabs>
          <w:tab w:val="left" w:pos="420"/>
        </w:tabs>
        <w:spacing w:line="400" w:lineRule="exact"/>
        <w:ind w:left="630" w:hanging="630" w:hangingChars="300"/>
      </w:pPr>
      <w:r>
        <w:rPr>
          <w:rFonts w:hint="eastAsia"/>
        </w:rPr>
        <w:t>2.6  中标人应当自合同或补充合同签订之日起五个工作日内，将合同副本报采购代理备案。</w:t>
      </w:r>
    </w:p>
    <w:p>
      <w:pPr>
        <w:pStyle w:val="125"/>
        <w:numPr>
          <w:ilvl w:val="0"/>
          <w:numId w:val="0"/>
        </w:numPr>
        <w:tabs>
          <w:tab w:val="left" w:pos="420"/>
        </w:tabs>
        <w:textAlignment w:val="auto"/>
        <w:rPr>
          <w:color w:val="auto"/>
        </w:rPr>
      </w:pPr>
      <w:bookmarkStart w:id="76" w:name="_Toc99718128"/>
      <w:bookmarkStart w:id="77" w:name="_Toc116879927"/>
      <w:bookmarkStart w:id="78" w:name="_Toc108276726"/>
      <w:bookmarkStart w:id="79" w:name="_Toc87810232"/>
      <w:bookmarkStart w:id="80" w:name="_Toc87373479"/>
      <w:bookmarkStart w:id="81" w:name="_Toc87373379"/>
      <w:bookmarkStart w:id="82" w:name="_Toc99881743"/>
      <w:r>
        <w:rPr>
          <w:rFonts w:hint="eastAsia"/>
          <w:color w:val="auto"/>
        </w:rPr>
        <w:t>九、 处罚、询问和质疑</w:t>
      </w:r>
      <w:bookmarkEnd w:id="76"/>
      <w:bookmarkEnd w:id="77"/>
      <w:bookmarkEnd w:id="78"/>
      <w:bookmarkEnd w:id="79"/>
      <w:bookmarkEnd w:id="80"/>
      <w:bookmarkEnd w:id="81"/>
      <w:bookmarkEnd w:id="82"/>
    </w:p>
    <w:p>
      <w:pPr>
        <w:spacing w:line="400" w:lineRule="exact"/>
        <w:ind w:left="525" w:hanging="525" w:hangingChars="250"/>
        <w:rPr>
          <w:rFonts w:ascii="宋体" w:hAnsi="宋体"/>
          <w:sz w:val="21"/>
          <w:szCs w:val="21"/>
        </w:rPr>
      </w:pPr>
      <w:r>
        <w:rPr>
          <w:rFonts w:hint="eastAsia" w:ascii="宋体" w:hAnsi="宋体"/>
          <w:sz w:val="21"/>
          <w:szCs w:val="21"/>
        </w:rPr>
        <w:t>1.</w:t>
      </w:r>
      <w:r>
        <w:rPr>
          <w:sz w:val="21"/>
          <w:szCs w:val="21"/>
        </w:rPr>
        <w:t xml:space="preserve">   </w:t>
      </w:r>
      <w:r>
        <w:rPr>
          <w:rFonts w:hint="eastAsia"/>
          <w:sz w:val="21"/>
          <w:szCs w:val="21"/>
        </w:rPr>
        <w:t>发生下列情况之一，服务供应商的投标保证金或诚信保证金将被没收，并被列入不良记录名单，服务供应商今后参与同类采购项目的机会可能会受到影响：</w:t>
      </w:r>
    </w:p>
    <w:p>
      <w:pPr>
        <w:spacing w:line="400" w:lineRule="exact"/>
        <w:ind w:firstLine="525" w:firstLineChars="250"/>
        <w:rPr>
          <w:rFonts w:ascii="宋体" w:hAnsi="宋体"/>
          <w:sz w:val="21"/>
          <w:szCs w:val="21"/>
        </w:rPr>
      </w:pPr>
      <w:r>
        <w:rPr>
          <w:rFonts w:hint="eastAsia" w:ascii="宋体" w:hAnsi="宋体"/>
          <w:sz w:val="21"/>
          <w:szCs w:val="21"/>
        </w:rPr>
        <w:t>⑴中标人未按本采购文件规定签订政府采购合同；</w:t>
      </w:r>
    </w:p>
    <w:p>
      <w:pPr>
        <w:spacing w:line="400" w:lineRule="exact"/>
        <w:ind w:firstLine="525" w:firstLineChars="250"/>
        <w:rPr>
          <w:rFonts w:ascii="宋体" w:hAnsi="宋体"/>
          <w:sz w:val="21"/>
          <w:szCs w:val="21"/>
        </w:rPr>
      </w:pPr>
      <w:r>
        <w:rPr>
          <w:rFonts w:hint="eastAsia" w:ascii="宋体" w:hAnsi="宋体"/>
          <w:sz w:val="21"/>
          <w:szCs w:val="21"/>
        </w:rPr>
        <w:t>⑵中标人与采购人订立背离合同实质性内容的其它协议；</w:t>
      </w:r>
    </w:p>
    <w:p>
      <w:pPr>
        <w:spacing w:line="400" w:lineRule="exact"/>
        <w:ind w:firstLine="525" w:firstLineChars="250"/>
        <w:rPr>
          <w:sz w:val="21"/>
          <w:szCs w:val="21"/>
        </w:rPr>
      </w:pPr>
      <w:r>
        <w:rPr>
          <w:rFonts w:hint="eastAsia" w:ascii="宋体" w:hAnsi="宋体"/>
          <w:sz w:val="21"/>
          <w:szCs w:val="21"/>
        </w:rPr>
        <w:t>⑶</w:t>
      </w:r>
      <w:r>
        <w:rPr>
          <w:rFonts w:hint="eastAsia"/>
          <w:sz w:val="21"/>
          <w:szCs w:val="21"/>
        </w:rPr>
        <w:t>服务供应商其它未按采购文件规定和合同约定履行义务的行为。</w:t>
      </w:r>
    </w:p>
    <w:p>
      <w:pPr>
        <w:pStyle w:val="102"/>
        <w:numPr>
          <w:ilvl w:val="0"/>
          <w:numId w:val="0"/>
        </w:numPr>
        <w:tabs>
          <w:tab w:val="left" w:pos="420"/>
        </w:tabs>
        <w:spacing w:line="360" w:lineRule="auto"/>
      </w:pPr>
      <w:r>
        <w:rPr>
          <w:rFonts w:hint="eastAsia"/>
        </w:rPr>
        <w:t>2.   服务供应商有权就采购程序或签订合同的事宜提出质疑</w:t>
      </w:r>
    </w:p>
    <w:p>
      <w:pPr>
        <w:pStyle w:val="102"/>
        <w:numPr>
          <w:ilvl w:val="1"/>
          <w:numId w:val="20"/>
        </w:numPr>
        <w:adjustRightInd/>
        <w:snapToGrid w:val="0"/>
        <w:spacing w:line="360" w:lineRule="auto"/>
        <w:ind w:left="525" w:hanging="525" w:hangingChars="250"/>
        <w:textAlignment w:val="auto"/>
        <w:rPr>
          <w:bCs/>
        </w:rPr>
      </w:pPr>
      <w:bookmarkStart w:id="83" w:name="_Toc108276727"/>
      <w:bookmarkStart w:id="84" w:name="_Toc99881744"/>
      <w:bookmarkStart w:id="85" w:name="_Toc99718129"/>
      <w:bookmarkStart w:id="86" w:name="_Toc87810233"/>
      <w:bookmarkStart w:id="87" w:name="_Toc116879928"/>
      <w:bookmarkStart w:id="88" w:name="_Toc87373480"/>
      <w:bookmarkStart w:id="89" w:name="_Toc87373380"/>
      <w:r>
        <w:rPr>
          <w:rFonts w:hint="eastAsia"/>
          <w:bCs/>
        </w:rPr>
        <w:t>服务供应商对采购事项有疑问的，国家规定可以向采购人提出询问。</w:t>
      </w:r>
    </w:p>
    <w:p>
      <w:pPr>
        <w:pStyle w:val="102"/>
        <w:numPr>
          <w:ilvl w:val="1"/>
          <w:numId w:val="20"/>
        </w:numPr>
        <w:adjustRightInd/>
        <w:snapToGrid w:val="0"/>
        <w:spacing w:line="360" w:lineRule="auto"/>
        <w:ind w:left="525" w:hanging="525" w:hangingChars="250"/>
        <w:textAlignment w:val="auto"/>
        <w:rPr>
          <w:bCs/>
        </w:rPr>
      </w:pPr>
      <w:r>
        <w:rPr>
          <w:rFonts w:hint="eastAsia"/>
          <w:bCs/>
        </w:rPr>
        <w:t>采购程序受《中华人民共和国政府采购法》和相关法律法规的约束，并受到严格的内部监察，以确保授予合同过程的公平公正。</w:t>
      </w:r>
    </w:p>
    <w:p>
      <w:pPr>
        <w:pStyle w:val="102"/>
        <w:numPr>
          <w:ilvl w:val="1"/>
          <w:numId w:val="20"/>
        </w:numPr>
        <w:adjustRightInd/>
        <w:snapToGrid w:val="0"/>
        <w:spacing w:line="360" w:lineRule="auto"/>
        <w:ind w:left="525" w:hanging="525" w:hangingChars="250"/>
        <w:textAlignment w:val="auto"/>
        <w:rPr>
          <w:bCs/>
        </w:rPr>
      </w:pPr>
      <w:r>
        <w:rPr>
          <w:rFonts w:hint="eastAsia"/>
          <w:bCs/>
        </w:rPr>
        <w:t>服务供应商对采购文件条款或技术参数有异议的，应当在公告发出7个工作日内提出。服务供应商已经参与投标，并于开标后对采购文件提出质疑的，其质疑应当被视为无效质疑。</w:t>
      </w:r>
    </w:p>
    <w:p>
      <w:pPr>
        <w:pStyle w:val="102"/>
        <w:numPr>
          <w:ilvl w:val="1"/>
          <w:numId w:val="20"/>
        </w:numPr>
        <w:adjustRightInd/>
        <w:snapToGrid w:val="0"/>
        <w:spacing w:line="360" w:lineRule="auto"/>
        <w:ind w:left="525" w:hanging="525" w:hangingChars="250"/>
        <w:textAlignment w:val="auto"/>
        <w:rPr>
          <w:bCs/>
        </w:rPr>
      </w:pPr>
      <w:r>
        <w:rPr>
          <w:rFonts w:hint="eastAsia"/>
          <w:bCs/>
        </w:rPr>
        <w:t xml:space="preserve">若服务供应商认为其投标未获公平评审或采购过程和中标结果使自己的合法权益受到损害的，可以在知道或者应知其权益受到损害之日起7个工作日内提出质疑。 </w:t>
      </w:r>
    </w:p>
    <w:p>
      <w:pPr>
        <w:pStyle w:val="102"/>
        <w:numPr>
          <w:ilvl w:val="1"/>
          <w:numId w:val="20"/>
        </w:numPr>
        <w:adjustRightInd/>
        <w:snapToGrid w:val="0"/>
        <w:spacing w:line="360" w:lineRule="auto"/>
        <w:ind w:left="525" w:hanging="525" w:hangingChars="250"/>
        <w:textAlignment w:val="auto"/>
        <w:rPr>
          <w:bCs/>
        </w:rPr>
      </w:pPr>
      <w:r>
        <w:rPr>
          <w:rFonts w:hint="eastAsia"/>
          <w:bCs/>
        </w:rPr>
        <w:t>质疑应当以书面形式向采购人或采购人提出。</w:t>
      </w:r>
    </w:p>
    <w:p>
      <w:pPr>
        <w:pStyle w:val="102"/>
        <w:numPr>
          <w:ilvl w:val="1"/>
          <w:numId w:val="20"/>
        </w:numPr>
        <w:adjustRightInd/>
        <w:snapToGrid w:val="0"/>
        <w:spacing w:line="360" w:lineRule="auto"/>
        <w:ind w:left="525" w:hanging="525" w:hangingChars="250"/>
        <w:textAlignment w:val="auto"/>
        <w:rPr>
          <w:bCs/>
        </w:rPr>
      </w:pPr>
      <w:r>
        <w:rPr>
          <w:rFonts w:hint="eastAsia"/>
          <w:bCs/>
        </w:rPr>
        <w:t>质疑人提起质疑应当符合下列条件：</w:t>
      </w:r>
    </w:p>
    <w:p>
      <w:pPr>
        <w:pStyle w:val="102"/>
        <w:numPr>
          <w:ilvl w:val="0"/>
          <w:numId w:val="21"/>
        </w:numPr>
        <w:adjustRightInd/>
        <w:spacing w:line="360" w:lineRule="auto"/>
        <w:ind w:left="1005" w:leftChars="200" w:hanging="525" w:hangingChars="250"/>
        <w:textAlignment w:val="auto"/>
        <w:rPr>
          <w:bCs/>
        </w:rPr>
      </w:pPr>
      <w:r>
        <w:rPr>
          <w:rFonts w:hint="eastAsia"/>
          <w:bCs/>
        </w:rPr>
        <w:t>质疑人是参与被质疑采购项目投标的供应商；</w:t>
      </w:r>
    </w:p>
    <w:p>
      <w:pPr>
        <w:pStyle w:val="102"/>
        <w:numPr>
          <w:ilvl w:val="0"/>
          <w:numId w:val="21"/>
        </w:numPr>
        <w:adjustRightInd/>
        <w:spacing w:line="360" w:lineRule="auto"/>
        <w:ind w:left="1005" w:leftChars="200" w:hanging="525" w:hangingChars="250"/>
        <w:textAlignment w:val="auto"/>
        <w:rPr>
          <w:bCs/>
        </w:rPr>
      </w:pPr>
      <w:r>
        <w:rPr>
          <w:rFonts w:hint="eastAsia"/>
          <w:bCs/>
        </w:rPr>
        <w:t>质疑书的内容和形式符合本办法的规定，有效线索和相关证据齐全；</w:t>
      </w:r>
    </w:p>
    <w:p>
      <w:pPr>
        <w:pStyle w:val="102"/>
        <w:numPr>
          <w:ilvl w:val="0"/>
          <w:numId w:val="21"/>
        </w:numPr>
        <w:adjustRightInd/>
        <w:spacing w:line="360" w:lineRule="auto"/>
        <w:ind w:left="1005" w:leftChars="200" w:hanging="525" w:hangingChars="250"/>
        <w:textAlignment w:val="auto"/>
        <w:rPr>
          <w:bCs/>
        </w:rPr>
      </w:pPr>
      <w:r>
        <w:rPr>
          <w:rFonts w:hint="eastAsia"/>
          <w:bCs/>
        </w:rPr>
        <w:t>在质疑有效期限内提起质疑；</w:t>
      </w:r>
    </w:p>
    <w:p>
      <w:pPr>
        <w:pStyle w:val="102"/>
        <w:numPr>
          <w:ilvl w:val="0"/>
          <w:numId w:val="21"/>
        </w:numPr>
        <w:adjustRightInd/>
        <w:spacing w:line="360" w:lineRule="auto"/>
        <w:ind w:left="1005" w:leftChars="200" w:hanging="525" w:hangingChars="250"/>
        <w:textAlignment w:val="auto"/>
        <w:rPr>
          <w:bCs/>
        </w:rPr>
      </w:pPr>
      <w:r>
        <w:rPr>
          <w:rFonts w:hint="eastAsia"/>
          <w:bCs/>
        </w:rPr>
        <w:t>有关法律、行政法规、财政部规章规定的其他条件。</w:t>
      </w:r>
    </w:p>
    <w:p>
      <w:pPr>
        <w:pStyle w:val="102"/>
        <w:numPr>
          <w:ilvl w:val="1"/>
          <w:numId w:val="20"/>
        </w:numPr>
        <w:adjustRightInd/>
        <w:snapToGrid w:val="0"/>
        <w:spacing w:line="360" w:lineRule="auto"/>
        <w:ind w:left="525" w:hanging="525" w:hangingChars="250"/>
        <w:textAlignment w:val="auto"/>
        <w:rPr>
          <w:bCs/>
        </w:rPr>
      </w:pPr>
      <w:r>
        <w:rPr>
          <w:rFonts w:hint="eastAsia"/>
          <w:bCs/>
        </w:rPr>
        <w:t>质疑书应当以《质疑函》的形式出现，并包括以下主要内容：被质疑项目名称、项目编号、包号、采购公告发布时间、质疑事项、法律依据（具体条款）、法定代表人签字、单位公章、有效联系方式（包括手机、传真号码）。不符合上述要求的，采购人将不予受理。按照“谁主张、谁举证”的原则，质疑书应当附上相关证明材料，否则质疑将视为无有效证据支持，将被予以驳回，并不得以上述理由要求延长质疑有效期。</w:t>
      </w:r>
    </w:p>
    <w:p>
      <w:pPr>
        <w:pStyle w:val="102"/>
        <w:numPr>
          <w:ilvl w:val="1"/>
          <w:numId w:val="20"/>
        </w:numPr>
        <w:adjustRightInd/>
        <w:snapToGrid w:val="0"/>
        <w:spacing w:line="360" w:lineRule="auto"/>
        <w:ind w:left="525" w:hanging="525" w:hangingChars="250"/>
        <w:textAlignment w:val="auto"/>
        <w:rPr>
          <w:bCs/>
        </w:rPr>
      </w:pPr>
      <w:r>
        <w:rPr>
          <w:rFonts w:hint="eastAsia"/>
          <w:bCs/>
        </w:rPr>
        <w:t>有下列情形之一的，属于无效质疑，采购人可不予受理：</w:t>
      </w:r>
    </w:p>
    <w:p>
      <w:pPr>
        <w:pStyle w:val="102"/>
        <w:numPr>
          <w:ilvl w:val="0"/>
          <w:numId w:val="22"/>
        </w:numPr>
        <w:tabs>
          <w:tab w:val="left" w:pos="1140"/>
        </w:tabs>
        <w:adjustRightInd/>
        <w:spacing w:line="360" w:lineRule="auto"/>
        <w:ind w:left="1005" w:leftChars="200" w:hanging="525" w:hangingChars="250"/>
        <w:textAlignment w:val="auto"/>
        <w:rPr>
          <w:bCs/>
        </w:rPr>
      </w:pPr>
      <w:r>
        <w:rPr>
          <w:rFonts w:hint="eastAsia"/>
          <w:bCs/>
        </w:rPr>
        <w:t>未在有效期限内提出质疑的；</w:t>
      </w:r>
    </w:p>
    <w:p>
      <w:pPr>
        <w:pStyle w:val="102"/>
        <w:numPr>
          <w:ilvl w:val="0"/>
          <w:numId w:val="22"/>
        </w:numPr>
        <w:tabs>
          <w:tab w:val="left" w:pos="1140"/>
        </w:tabs>
        <w:adjustRightInd/>
        <w:spacing w:line="360" w:lineRule="auto"/>
        <w:ind w:left="1005" w:leftChars="200" w:hanging="525" w:hangingChars="250"/>
        <w:textAlignment w:val="auto"/>
        <w:rPr>
          <w:bCs/>
        </w:rPr>
      </w:pPr>
      <w:r>
        <w:rPr>
          <w:rFonts w:hint="eastAsia"/>
          <w:bCs/>
        </w:rPr>
        <w:t>质疑未以书面形式提出的；</w:t>
      </w:r>
    </w:p>
    <w:p>
      <w:pPr>
        <w:pStyle w:val="102"/>
        <w:numPr>
          <w:ilvl w:val="0"/>
          <w:numId w:val="22"/>
        </w:numPr>
        <w:tabs>
          <w:tab w:val="left" w:pos="1140"/>
        </w:tabs>
        <w:adjustRightInd/>
        <w:spacing w:line="360" w:lineRule="auto"/>
        <w:ind w:left="1005" w:leftChars="200" w:hanging="525" w:hangingChars="250"/>
        <w:textAlignment w:val="auto"/>
        <w:rPr>
          <w:bCs/>
        </w:rPr>
      </w:pPr>
      <w:r>
        <w:rPr>
          <w:rFonts w:hint="eastAsia"/>
          <w:bCs/>
        </w:rPr>
        <w:t>质疑书为传真或复印件的；</w:t>
      </w:r>
    </w:p>
    <w:p>
      <w:pPr>
        <w:pStyle w:val="102"/>
        <w:numPr>
          <w:ilvl w:val="0"/>
          <w:numId w:val="22"/>
        </w:numPr>
        <w:tabs>
          <w:tab w:val="left" w:pos="1140"/>
        </w:tabs>
        <w:adjustRightInd/>
        <w:spacing w:line="360" w:lineRule="auto"/>
        <w:ind w:left="1005" w:leftChars="200" w:hanging="525" w:hangingChars="250"/>
        <w:textAlignment w:val="auto"/>
        <w:rPr>
          <w:bCs/>
        </w:rPr>
      </w:pPr>
      <w:r>
        <w:rPr>
          <w:rFonts w:hint="eastAsia"/>
          <w:bCs/>
        </w:rPr>
        <w:t>所提交材料没有以《质疑函》命名的；</w:t>
      </w:r>
    </w:p>
    <w:p>
      <w:pPr>
        <w:pStyle w:val="102"/>
        <w:numPr>
          <w:ilvl w:val="0"/>
          <w:numId w:val="22"/>
        </w:numPr>
        <w:tabs>
          <w:tab w:val="left" w:pos="1140"/>
        </w:tabs>
        <w:adjustRightInd/>
        <w:spacing w:line="360" w:lineRule="auto"/>
        <w:ind w:left="1005" w:leftChars="200" w:hanging="525" w:hangingChars="250"/>
        <w:textAlignment w:val="auto"/>
        <w:rPr>
          <w:bCs/>
        </w:rPr>
      </w:pPr>
      <w:r>
        <w:rPr>
          <w:rFonts w:hint="eastAsia"/>
          <w:bCs/>
        </w:rPr>
        <w:t>质疑书没有法定代表人签署本人姓名或印盖本人姓名章并加盖单位公章；质疑书由参加采购项目的授权代表签署本人姓名或印盖本人姓名章的，没有法定代表人的特别授权；质疑书加盖合同专用章的；</w:t>
      </w:r>
    </w:p>
    <w:p>
      <w:pPr>
        <w:pStyle w:val="102"/>
        <w:numPr>
          <w:ilvl w:val="0"/>
          <w:numId w:val="22"/>
        </w:numPr>
        <w:tabs>
          <w:tab w:val="left" w:pos="1140"/>
        </w:tabs>
        <w:adjustRightInd/>
        <w:spacing w:line="360" w:lineRule="auto"/>
        <w:ind w:left="1005" w:leftChars="200" w:hanging="525" w:hangingChars="250"/>
        <w:textAlignment w:val="auto"/>
        <w:rPr>
          <w:bCs/>
        </w:rPr>
      </w:pPr>
      <w:r>
        <w:rPr>
          <w:rFonts w:hint="eastAsia"/>
          <w:bCs/>
        </w:rPr>
        <w:t>质疑书未提供有效联系人或联系方式的；</w:t>
      </w:r>
    </w:p>
    <w:p>
      <w:pPr>
        <w:pStyle w:val="102"/>
        <w:numPr>
          <w:ilvl w:val="0"/>
          <w:numId w:val="22"/>
        </w:numPr>
        <w:tabs>
          <w:tab w:val="left" w:pos="1140"/>
        </w:tabs>
        <w:adjustRightInd/>
        <w:spacing w:line="360" w:lineRule="auto"/>
        <w:ind w:left="1005" w:leftChars="200" w:hanging="525" w:hangingChars="250"/>
        <w:textAlignment w:val="auto"/>
        <w:rPr>
          <w:bCs/>
        </w:rPr>
      </w:pPr>
      <w:r>
        <w:rPr>
          <w:rFonts w:hint="eastAsia"/>
          <w:bCs/>
        </w:rPr>
        <w:t>质疑事项已经进入投诉或者诉讼程序的；</w:t>
      </w:r>
    </w:p>
    <w:p>
      <w:pPr>
        <w:pStyle w:val="102"/>
        <w:numPr>
          <w:ilvl w:val="0"/>
          <w:numId w:val="22"/>
        </w:numPr>
        <w:tabs>
          <w:tab w:val="left" w:pos="1140"/>
        </w:tabs>
        <w:adjustRightInd/>
        <w:spacing w:line="360" w:lineRule="auto"/>
        <w:ind w:left="1005" w:leftChars="200" w:hanging="525" w:hangingChars="250"/>
        <w:textAlignment w:val="auto"/>
        <w:rPr>
          <w:bCs/>
        </w:rPr>
      </w:pPr>
      <w:r>
        <w:rPr>
          <w:rFonts w:hint="eastAsia"/>
          <w:bCs/>
        </w:rPr>
        <w:t>其它不符合受理条件的情形。</w:t>
      </w:r>
    </w:p>
    <w:p>
      <w:pPr>
        <w:pStyle w:val="102"/>
        <w:numPr>
          <w:ilvl w:val="1"/>
          <w:numId w:val="20"/>
        </w:numPr>
        <w:adjustRightInd/>
        <w:snapToGrid w:val="0"/>
        <w:spacing w:line="360" w:lineRule="auto"/>
        <w:ind w:left="525" w:hanging="525" w:hangingChars="250"/>
        <w:textAlignment w:val="auto"/>
        <w:rPr>
          <w:bCs/>
        </w:rPr>
      </w:pPr>
      <w:r>
        <w:rPr>
          <w:rFonts w:hint="eastAsia"/>
          <w:bCs/>
        </w:rPr>
        <w:t>采购人将在收到书面质疑后7个工作日内审查质疑事项，作出答复或相关处理决定，并以书面形式通知质疑服务供应商和其他有关供应商，但答复的内容不涉及商业秘密。若质疑涉及政府采购制度或程序，将被转交政府采购的管理部门审查。</w:t>
      </w:r>
    </w:p>
    <w:p>
      <w:pPr>
        <w:pStyle w:val="102"/>
        <w:numPr>
          <w:ilvl w:val="1"/>
          <w:numId w:val="20"/>
        </w:numPr>
        <w:adjustRightInd/>
        <w:snapToGrid w:val="0"/>
        <w:spacing w:line="360" w:lineRule="auto"/>
        <w:ind w:left="525" w:hanging="525" w:hangingChars="250"/>
        <w:textAlignment w:val="auto"/>
        <w:rPr>
          <w:bCs/>
        </w:rPr>
      </w:pPr>
      <w:r>
        <w:rPr>
          <w:rFonts w:hint="eastAsia"/>
          <w:bCs/>
        </w:rPr>
        <w:t>质疑人有下列情形之一的，采购人应驳回质疑：</w:t>
      </w:r>
    </w:p>
    <w:p>
      <w:pPr>
        <w:pStyle w:val="102"/>
        <w:numPr>
          <w:ilvl w:val="0"/>
          <w:numId w:val="0"/>
        </w:numPr>
        <w:snapToGrid w:val="0"/>
        <w:spacing w:line="360" w:lineRule="auto"/>
        <w:ind w:left="1005" w:leftChars="200" w:hanging="525" w:hangingChars="250"/>
        <w:rPr>
          <w:bCs/>
        </w:rPr>
      </w:pPr>
      <w:r>
        <w:rPr>
          <w:rFonts w:hint="eastAsia"/>
          <w:bCs/>
        </w:rPr>
        <w:t>（1）质疑缺乏事实和法律依据的；</w:t>
      </w:r>
    </w:p>
    <w:p>
      <w:pPr>
        <w:pStyle w:val="102"/>
        <w:numPr>
          <w:ilvl w:val="0"/>
          <w:numId w:val="0"/>
        </w:numPr>
        <w:snapToGrid w:val="0"/>
        <w:spacing w:line="360" w:lineRule="auto"/>
        <w:ind w:left="1005" w:leftChars="200" w:hanging="525" w:hangingChars="250"/>
        <w:rPr>
          <w:bCs/>
        </w:rPr>
      </w:pPr>
      <w:r>
        <w:rPr>
          <w:rFonts w:hint="eastAsia"/>
          <w:bCs/>
        </w:rPr>
        <w:t>（2）质疑人捏造事实、提供虚假材料，或在一定期限内多次质疑而无实据的；</w:t>
      </w:r>
    </w:p>
    <w:p>
      <w:pPr>
        <w:pStyle w:val="102"/>
        <w:numPr>
          <w:ilvl w:val="0"/>
          <w:numId w:val="0"/>
        </w:numPr>
        <w:snapToGrid w:val="0"/>
        <w:spacing w:line="360" w:lineRule="auto"/>
        <w:ind w:left="1005" w:leftChars="200" w:hanging="525" w:hangingChars="250"/>
        <w:rPr>
          <w:bCs/>
        </w:rPr>
      </w:pPr>
      <w:r>
        <w:rPr>
          <w:rFonts w:hint="eastAsia"/>
          <w:bCs/>
        </w:rPr>
        <w:t>（3）质疑已经处理并答复后，质疑人就同一事项又提起质疑且未提供新的有效证据的；</w:t>
      </w:r>
    </w:p>
    <w:p>
      <w:pPr>
        <w:pStyle w:val="102"/>
        <w:numPr>
          <w:ilvl w:val="0"/>
          <w:numId w:val="0"/>
        </w:numPr>
        <w:snapToGrid w:val="0"/>
        <w:spacing w:line="360" w:lineRule="auto"/>
        <w:ind w:left="1005" w:leftChars="200" w:hanging="525" w:hangingChars="250"/>
        <w:rPr>
          <w:rFonts w:cs="宋体"/>
          <w:bCs/>
        </w:rPr>
      </w:pPr>
      <w:r>
        <w:rPr>
          <w:rFonts w:hint="eastAsia"/>
          <w:bCs/>
        </w:rPr>
        <w:t>（4）其他根据相关法律、法规应当予以驳回的情形。</w:t>
      </w:r>
    </w:p>
    <w:p>
      <w:pPr>
        <w:pStyle w:val="102"/>
        <w:numPr>
          <w:ilvl w:val="1"/>
          <w:numId w:val="20"/>
        </w:numPr>
        <w:adjustRightInd/>
        <w:snapToGrid w:val="0"/>
        <w:spacing w:line="360" w:lineRule="auto"/>
        <w:ind w:left="525" w:hanging="525" w:hangingChars="250"/>
        <w:textAlignment w:val="auto"/>
        <w:rPr>
          <w:bCs/>
        </w:rPr>
      </w:pPr>
      <w:r>
        <w:rPr>
          <w:rFonts w:hint="eastAsia"/>
          <w:bCs/>
        </w:rPr>
        <w:t>供应商进行虚假和恶意质疑的，采购人可以提请有关部门将其列入不良记录名单，在一至三年内禁止参加政府采购活动，并将处理决定在相关政府采购媒体上公布。</w:t>
      </w:r>
    </w:p>
    <w:p>
      <w:pPr>
        <w:pStyle w:val="102"/>
        <w:numPr>
          <w:ilvl w:val="1"/>
          <w:numId w:val="20"/>
        </w:numPr>
        <w:adjustRightInd/>
        <w:snapToGrid w:val="0"/>
        <w:spacing w:line="360" w:lineRule="auto"/>
        <w:ind w:left="525" w:hanging="525" w:hangingChars="250"/>
        <w:textAlignment w:val="auto"/>
        <w:rPr>
          <w:bCs/>
        </w:rPr>
      </w:pPr>
      <w:r>
        <w:rPr>
          <w:rFonts w:hint="eastAsia"/>
          <w:bCs/>
        </w:rPr>
        <w:t>质疑服务供应商对采购人或采购人的答复不满意以及采购人或采购人未在规定的时间内做出答复的，可以在答复期满后15个工作日内向政府采购监督管理部门投诉。</w:t>
      </w:r>
    </w:p>
    <w:p>
      <w:pPr>
        <w:pStyle w:val="102"/>
        <w:numPr>
          <w:ilvl w:val="0"/>
          <w:numId w:val="0"/>
        </w:numPr>
        <w:spacing w:line="400" w:lineRule="exact"/>
        <w:ind w:left="709" w:hanging="709"/>
        <w:textAlignment w:val="auto"/>
      </w:pPr>
      <w:r>
        <w:rPr>
          <w:rFonts w:hint="eastAsia"/>
        </w:rPr>
        <w:t>十、 保密和披露</w:t>
      </w:r>
      <w:bookmarkEnd w:id="83"/>
      <w:bookmarkEnd w:id="84"/>
      <w:bookmarkEnd w:id="85"/>
      <w:bookmarkEnd w:id="86"/>
      <w:bookmarkEnd w:id="87"/>
      <w:bookmarkEnd w:id="88"/>
      <w:bookmarkEnd w:id="89"/>
    </w:p>
    <w:p>
      <w:pPr>
        <w:pStyle w:val="102"/>
        <w:numPr>
          <w:ilvl w:val="0"/>
          <w:numId w:val="0"/>
        </w:numPr>
        <w:tabs>
          <w:tab w:val="left" w:pos="420"/>
        </w:tabs>
        <w:spacing w:line="400" w:lineRule="exact"/>
        <w:ind w:left="420" w:hanging="420" w:hangingChars="200"/>
      </w:pPr>
      <w:r>
        <w:rPr>
          <w:rFonts w:hint="eastAsia"/>
        </w:rPr>
        <w:t>1.  服务供应商自购买采购文件之日起，须承诺承担本采购项目下保密义务，不得将因本次采购获得的信息向第三人外传。</w:t>
      </w:r>
    </w:p>
    <w:p>
      <w:pPr>
        <w:pStyle w:val="102"/>
        <w:numPr>
          <w:ilvl w:val="0"/>
          <w:numId w:val="0"/>
        </w:numPr>
        <w:tabs>
          <w:tab w:val="left" w:pos="420"/>
        </w:tabs>
        <w:spacing w:line="400" w:lineRule="exact"/>
        <w:ind w:left="420" w:hanging="420" w:hangingChars="200"/>
      </w:pPr>
      <w:r>
        <w:rPr>
          <w:rFonts w:hint="eastAsia"/>
        </w:rPr>
        <w:t>2.  采购代理有权将服务供应商提供的所有资料向其他政府部门或有关的非政府机构负责评审标书的人员或与评标有关的人员披露。</w:t>
      </w:r>
    </w:p>
    <w:p>
      <w:pPr>
        <w:pStyle w:val="102"/>
        <w:numPr>
          <w:ilvl w:val="0"/>
          <w:numId w:val="0"/>
        </w:numPr>
        <w:tabs>
          <w:tab w:val="left" w:pos="420"/>
        </w:tabs>
        <w:spacing w:line="400" w:lineRule="exact"/>
        <w:ind w:left="420" w:hanging="420" w:hangingChars="200"/>
      </w:pPr>
      <w:r>
        <w:rPr>
          <w:rFonts w:hint="eastAsia"/>
        </w:rPr>
        <w:t>3.  在下列情形下：当发布中标公告和其它公告时，当国家机关调查、审查、审计时，以及其他符合法律规定的情形下，无须事先征求服务供应商/谈判报价人/中标人同意而可以披露关于采购过程、合同文本、签署情况的资料、服务供应商/谈判报价人/中标人的名称及地址、采购内容的有关信息以及补充条款等。对任何已经公布过的内容或与之内容相同的资料无须再承担保密责任。</w:t>
      </w:r>
    </w:p>
    <w:p>
      <w:pPr>
        <w:pStyle w:val="102"/>
        <w:numPr>
          <w:ilvl w:val="0"/>
          <w:numId w:val="0"/>
        </w:numPr>
        <w:tabs>
          <w:tab w:val="left" w:pos="420"/>
        </w:tabs>
        <w:ind w:left="600" w:hanging="600"/>
      </w:pPr>
    </w:p>
    <w:bookmarkEnd w:id="26"/>
    <w:p>
      <w:pPr>
        <w:pStyle w:val="102"/>
        <w:numPr>
          <w:ilvl w:val="0"/>
          <w:numId w:val="0"/>
        </w:numPr>
        <w:rPr>
          <w:b/>
          <w:sz w:val="28"/>
          <w:szCs w:val="28"/>
        </w:rPr>
        <w:sectPr>
          <w:pgSz w:w="11906" w:h="16838"/>
          <w:pgMar w:top="1440" w:right="1080" w:bottom="1440" w:left="1080" w:header="851" w:footer="851" w:gutter="0"/>
          <w:cols w:space="720" w:num="1"/>
          <w:docGrid w:linePitch="312" w:charSpace="0"/>
        </w:sectPr>
      </w:pPr>
    </w:p>
    <w:p>
      <w:pPr>
        <w:sectPr>
          <w:headerReference r:id="rId6" w:type="default"/>
          <w:type w:val="continuous"/>
          <w:pgSz w:w="11906" w:h="16838"/>
          <w:pgMar w:top="1440" w:right="1080" w:bottom="1440" w:left="1080" w:header="851" w:footer="851" w:gutter="0"/>
          <w:cols w:space="720" w:num="1"/>
          <w:docGrid w:linePitch="312" w:charSpace="0"/>
        </w:sectPr>
      </w:pPr>
      <w:bookmarkStart w:id="90" w:name="_Toc99881745"/>
      <w:bookmarkStart w:id="91" w:name="_Toc99718130"/>
      <w:bookmarkStart w:id="92" w:name="_Toc87810234"/>
      <w:bookmarkStart w:id="93" w:name="_Toc87373481"/>
      <w:bookmarkStart w:id="94" w:name="_Toc87373381"/>
    </w:p>
    <w:p>
      <w:pPr>
        <w:pStyle w:val="77"/>
        <w:numPr>
          <w:ilvl w:val="0"/>
          <w:numId w:val="0"/>
        </w:numPr>
        <w:rPr>
          <w:szCs w:val="28"/>
        </w:rPr>
      </w:pPr>
      <w:bookmarkStart w:id="95" w:name="_Toc522963609"/>
      <w:r>
        <w:rPr>
          <w:rFonts w:hint="eastAsia"/>
          <w:szCs w:val="28"/>
        </w:rPr>
        <w:t>第四</w:t>
      </w:r>
      <w:r>
        <w:rPr>
          <w:rFonts w:hint="eastAsia"/>
        </w:rPr>
        <w:t>部分</w:t>
      </w:r>
      <w:r>
        <w:rPr>
          <w:rFonts w:hint="eastAsia"/>
          <w:szCs w:val="28"/>
        </w:rPr>
        <w:t xml:space="preserve">  评标细则和评分方法</w:t>
      </w:r>
      <w:bookmarkEnd w:id="90"/>
      <w:bookmarkEnd w:id="91"/>
      <w:bookmarkEnd w:id="92"/>
      <w:bookmarkEnd w:id="93"/>
      <w:bookmarkEnd w:id="94"/>
      <w:bookmarkEnd w:id="95"/>
    </w:p>
    <w:p>
      <w:pPr>
        <w:pStyle w:val="102"/>
        <w:numPr>
          <w:ilvl w:val="0"/>
          <w:numId w:val="0"/>
        </w:numPr>
        <w:rPr>
          <w:b/>
        </w:rPr>
      </w:pPr>
      <w:r>
        <w:rPr>
          <w:rFonts w:hint="eastAsia"/>
          <w:b/>
        </w:rPr>
        <w:t>一、 评标原则</w:t>
      </w:r>
    </w:p>
    <w:p>
      <w:pPr>
        <w:spacing w:line="400" w:lineRule="exact"/>
        <w:ind w:firstLine="420" w:firstLineChars="200"/>
        <w:rPr>
          <w:rFonts w:ascii="宋体" w:hAnsi="宋体"/>
          <w:sz w:val="21"/>
          <w:szCs w:val="21"/>
        </w:rPr>
      </w:pPr>
      <w:r>
        <w:rPr>
          <w:rFonts w:hint="eastAsia" w:ascii="宋体" w:hAnsi="宋体"/>
          <w:sz w:val="21"/>
          <w:szCs w:val="21"/>
        </w:rPr>
        <w:t>评标委员会在评标时根据投标报价以及各项因素对服务供应商和投标货物进行综合评价，包括但不限于以下各项因素：</w:t>
      </w:r>
    </w:p>
    <w:p>
      <w:pPr>
        <w:numPr>
          <w:ilvl w:val="1"/>
          <w:numId w:val="23"/>
        </w:numPr>
        <w:tabs>
          <w:tab w:val="left" w:pos="1320"/>
        </w:tabs>
        <w:spacing w:line="400" w:lineRule="exact"/>
        <w:ind w:left="0" w:firstLine="200"/>
        <w:jc w:val="both"/>
        <w:textAlignment w:val="auto"/>
        <w:rPr>
          <w:rFonts w:ascii="宋体" w:hAnsi="宋体"/>
          <w:sz w:val="21"/>
          <w:szCs w:val="21"/>
        </w:rPr>
      </w:pPr>
      <w:r>
        <w:rPr>
          <w:rFonts w:hint="eastAsia" w:ascii="宋体" w:hAnsi="宋体"/>
          <w:sz w:val="21"/>
          <w:szCs w:val="21"/>
        </w:rPr>
        <w:t>服务供应商的资质、业绩；</w:t>
      </w:r>
    </w:p>
    <w:p>
      <w:pPr>
        <w:numPr>
          <w:ilvl w:val="1"/>
          <w:numId w:val="23"/>
        </w:numPr>
        <w:tabs>
          <w:tab w:val="left" w:pos="1320"/>
        </w:tabs>
        <w:spacing w:line="400" w:lineRule="exact"/>
        <w:ind w:left="0" w:firstLine="200"/>
        <w:jc w:val="both"/>
        <w:textAlignment w:val="auto"/>
        <w:rPr>
          <w:rFonts w:ascii="宋体" w:hAnsi="宋体"/>
          <w:sz w:val="21"/>
          <w:szCs w:val="21"/>
        </w:rPr>
      </w:pPr>
      <w:r>
        <w:rPr>
          <w:rFonts w:hint="eastAsia" w:ascii="宋体" w:hAnsi="宋体"/>
          <w:sz w:val="21"/>
          <w:szCs w:val="21"/>
        </w:rPr>
        <w:t>投标方案的合理性；</w:t>
      </w:r>
    </w:p>
    <w:p>
      <w:pPr>
        <w:numPr>
          <w:ilvl w:val="1"/>
          <w:numId w:val="23"/>
        </w:numPr>
        <w:tabs>
          <w:tab w:val="left" w:pos="1320"/>
        </w:tabs>
        <w:spacing w:line="400" w:lineRule="exact"/>
        <w:ind w:left="0" w:firstLine="200"/>
        <w:jc w:val="both"/>
        <w:textAlignment w:val="auto"/>
        <w:rPr>
          <w:rFonts w:ascii="宋体" w:hAnsi="宋体"/>
          <w:sz w:val="21"/>
          <w:szCs w:val="21"/>
        </w:rPr>
      </w:pPr>
      <w:r>
        <w:rPr>
          <w:rFonts w:hint="eastAsia" w:ascii="宋体" w:hAnsi="宋体"/>
          <w:sz w:val="21"/>
          <w:szCs w:val="21"/>
        </w:rPr>
        <w:t>与采购文件技术要求的偏离及售后服务方案；</w:t>
      </w:r>
    </w:p>
    <w:p>
      <w:pPr>
        <w:numPr>
          <w:ilvl w:val="1"/>
          <w:numId w:val="23"/>
        </w:numPr>
        <w:tabs>
          <w:tab w:val="left" w:pos="1320"/>
        </w:tabs>
        <w:spacing w:line="400" w:lineRule="exact"/>
        <w:ind w:left="0" w:firstLine="200"/>
        <w:jc w:val="both"/>
        <w:textAlignment w:val="auto"/>
        <w:rPr>
          <w:rFonts w:ascii="宋体" w:hAnsi="宋体"/>
          <w:sz w:val="21"/>
          <w:szCs w:val="21"/>
        </w:rPr>
      </w:pPr>
      <w:r>
        <w:rPr>
          <w:rFonts w:hint="eastAsia" w:ascii="宋体" w:hAnsi="宋体"/>
          <w:sz w:val="21"/>
          <w:szCs w:val="21"/>
        </w:rPr>
        <w:t>对服务供应商须知前附表中加*项目和付款条件的非实质响应,将导致投标被拒绝；</w:t>
      </w:r>
    </w:p>
    <w:p>
      <w:pPr>
        <w:numPr>
          <w:ilvl w:val="1"/>
          <w:numId w:val="23"/>
        </w:numPr>
        <w:tabs>
          <w:tab w:val="left" w:pos="1320"/>
        </w:tabs>
        <w:spacing w:line="400" w:lineRule="exact"/>
        <w:ind w:left="0" w:firstLine="200"/>
        <w:jc w:val="both"/>
        <w:textAlignment w:val="auto"/>
        <w:rPr>
          <w:rFonts w:ascii="宋体" w:hAnsi="宋体"/>
          <w:sz w:val="21"/>
          <w:szCs w:val="21"/>
        </w:rPr>
      </w:pPr>
      <w:r>
        <w:rPr>
          <w:rFonts w:hint="eastAsia" w:ascii="宋体" w:hAnsi="宋体"/>
          <w:sz w:val="21"/>
          <w:szCs w:val="21"/>
        </w:rPr>
        <w:t>对投标有效期和质保期的承诺不满足本采购文件要求将视为非实质响应投标；</w:t>
      </w:r>
    </w:p>
    <w:p>
      <w:pPr>
        <w:numPr>
          <w:ilvl w:val="1"/>
          <w:numId w:val="23"/>
        </w:numPr>
        <w:tabs>
          <w:tab w:val="left" w:pos="1320"/>
        </w:tabs>
        <w:spacing w:line="400" w:lineRule="exact"/>
        <w:ind w:left="0" w:firstLine="200"/>
        <w:jc w:val="both"/>
        <w:textAlignment w:val="auto"/>
        <w:rPr>
          <w:rFonts w:ascii="宋体" w:hAnsi="宋体"/>
          <w:sz w:val="21"/>
          <w:szCs w:val="21"/>
        </w:rPr>
      </w:pPr>
      <w:r>
        <w:rPr>
          <w:rFonts w:hint="eastAsia" w:ascii="宋体" w:hAnsi="宋体"/>
          <w:sz w:val="21"/>
          <w:szCs w:val="21"/>
        </w:rPr>
        <w:t>在质保期满后的服务费用应在采购文件中列明，但不包含在评标价中；</w:t>
      </w:r>
    </w:p>
    <w:p>
      <w:pPr>
        <w:numPr>
          <w:ilvl w:val="1"/>
          <w:numId w:val="23"/>
        </w:numPr>
        <w:tabs>
          <w:tab w:val="left" w:pos="1320"/>
        </w:tabs>
        <w:spacing w:line="400" w:lineRule="exact"/>
        <w:ind w:left="0" w:firstLine="200"/>
        <w:jc w:val="both"/>
        <w:textAlignment w:val="auto"/>
        <w:rPr>
          <w:rFonts w:ascii="宋体" w:hAnsi="宋体"/>
          <w:sz w:val="21"/>
          <w:szCs w:val="21"/>
        </w:rPr>
      </w:pPr>
      <w:r>
        <w:rPr>
          <w:rFonts w:hint="eastAsia" w:ascii="宋体" w:hAnsi="宋体"/>
          <w:sz w:val="21"/>
          <w:szCs w:val="21"/>
        </w:rPr>
        <w:t>服务供应商提供的其它内容和条件。</w:t>
      </w:r>
    </w:p>
    <w:p>
      <w:pPr>
        <w:numPr>
          <w:ilvl w:val="3"/>
          <w:numId w:val="24"/>
        </w:numPr>
        <w:tabs>
          <w:tab w:val="left" w:pos="480"/>
          <w:tab w:val="left" w:pos="960"/>
          <w:tab w:val="clear" w:pos="1500"/>
        </w:tabs>
        <w:spacing w:before="240" w:beforeLines="100" w:line="240" w:lineRule="atLeast"/>
        <w:ind w:left="995" w:hanging="995" w:hangingChars="472"/>
        <w:rPr>
          <w:b/>
          <w:bCs/>
          <w:sz w:val="21"/>
          <w:szCs w:val="24"/>
        </w:rPr>
      </w:pPr>
      <w:r>
        <w:rPr>
          <w:rFonts w:hint="eastAsia"/>
          <w:b/>
          <w:bCs/>
          <w:sz w:val="21"/>
          <w:szCs w:val="24"/>
        </w:rPr>
        <w:t>评标方法</w:t>
      </w:r>
    </w:p>
    <w:p>
      <w:pPr>
        <w:spacing w:line="440" w:lineRule="exact"/>
        <w:ind w:firstLine="420" w:firstLineChars="200"/>
        <w:rPr>
          <w:rFonts w:ascii="宋体" w:hAnsi="宋体"/>
          <w:sz w:val="21"/>
          <w:szCs w:val="21"/>
        </w:rPr>
      </w:pPr>
      <w:r>
        <w:rPr>
          <w:rFonts w:hint="eastAsia" w:ascii="宋体" w:hAnsi="宋体"/>
          <w:sz w:val="21"/>
          <w:szCs w:val="21"/>
        </w:rPr>
        <w:t>（一）评标小组审核投标公司是否满足第五部分中的技术要求，选取满足技术的服务供应商；</w:t>
      </w:r>
    </w:p>
    <w:p>
      <w:pPr>
        <w:pStyle w:val="102"/>
        <w:numPr>
          <w:ilvl w:val="0"/>
          <w:numId w:val="0"/>
        </w:numPr>
        <w:spacing w:line="400" w:lineRule="exact"/>
        <w:ind w:firstLine="420" w:firstLineChars="200"/>
        <w:rPr>
          <w:color w:val="000000" w:themeColor="text1"/>
          <w14:textFill>
            <w14:solidFill>
              <w14:schemeClr w14:val="tx1"/>
            </w14:solidFill>
          </w14:textFill>
        </w:rPr>
        <w:sectPr>
          <w:headerReference r:id="rId7" w:type="default"/>
          <w:pgSz w:w="11907" w:h="16840"/>
          <w:pgMar w:top="1440" w:right="1080" w:bottom="1440" w:left="1080" w:header="851" w:footer="851" w:gutter="0"/>
          <w:cols w:space="720" w:num="1"/>
          <w:docGrid w:linePitch="312" w:charSpace="0"/>
        </w:sectPr>
      </w:pPr>
      <w:bookmarkStart w:id="96" w:name="_Toc99718141"/>
      <w:bookmarkStart w:id="97" w:name="_Toc87373389"/>
      <w:bookmarkStart w:id="98" w:name="_Toc99881759"/>
      <w:bookmarkStart w:id="99" w:name="_Toc87810242"/>
      <w:bookmarkStart w:id="100" w:name="_Toc87373489"/>
    </w:p>
    <w:p>
      <w:pPr>
        <w:pStyle w:val="2"/>
        <w:numPr>
          <w:ilvl w:val="0"/>
          <w:numId w:val="0"/>
        </w:numPr>
        <w:jc w:val="center"/>
        <w:rPr>
          <w:sz w:val="32"/>
          <w:szCs w:val="32"/>
        </w:rPr>
      </w:pPr>
      <w:bookmarkStart w:id="101" w:name="_Toc522963610"/>
      <w:r>
        <w:rPr>
          <w:rFonts w:hint="eastAsia"/>
          <w:sz w:val="32"/>
          <w:szCs w:val="32"/>
        </w:rPr>
        <w:t>第五部分</w:t>
      </w:r>
      <w:r>
        <w:rPr>
          <w:sz w:val="32"/>
          <w:szCs w:val="32"/>
        </w:rPr>
        <w:t xml:space="preserve">  </w:t>
      </w:r>
      <w:r>
        <w:rPr>
          <w:rFonts w:hint="eastAsia"/>
          <w:sz w:val="32"/>
          <w:szCs w:val="32"/>
        </w:rPr>
        <w:t>采购货物清单、质量和供货要求</w:t>
      </w:r>
      <w:bookmarkEnd w:id="101"/>
    </w:p>
    <w:p>
      <w:pPr>
        <w:tabs>
          <w:tab w:val="left" w:pos="432"/>
          <w:tab w:val="left" w:pos="567"/>
        </w:tabs>
        <w:spacing w:before="120" w:beforeLines="50" w:after="120" w:afterLines="50"/>
        <w:rPr>
          <w:rFonts w:ascii="宋体"/>
          <w:b/>
          <w:sz w:val="21"/>
          <w:szCs w:val="21"/>
        </w:rPr>
      </w:pPr>
      <w:r>
        <w:rPr>
          <w:rFonts w:hint="eastAsia" w:ascii="宋体"/>
          <w:b/>
          <w:sz w:val="21"/>
          <w:szCs w:val="21"/>
        </w:rPr>
        <w:t>一、</w:t>
      </w:r>
      <w:r>
        <w:rPr>
          <w:rFonts w:hint="eastAsia" w:ascii="宋体" w:hAnsi="宋体"/>
          <w:b/>
          <w:sz w:val="21"/>
          <w:szCs w:val="21"/>
        </w:rPr>
        <w:t>项目背景</w:t>
      </w:r>
    </w:p>
    <w:p>
      <w:pPr>
        <w:spacing w:before="120" w:beforeLines="50" w:after="120" w:afterLines="50" w:line="360" w:lineRule="auto"/>
        <w:ind w:firstLine="420" w:firstLineChars="200"/>
        <w:rPr>
          <w:rFonts w:ascii="宋体"/>
          <w:color w:val="000000" w:themeColor="text1"/>
          <w:sz w:val="21"/>
          <w:szCs w:val="21"/>
          <w14:textFill>
            <w14:solidFill>
              <w14:schemeClr w14:val="tx1"/>
            </w14:solidFill>
          </w14:textFill>
        </w:rPr>
      </w:pPr>
      <w:r>
        <w:rPr>
          <w:rFonts w:hint="eastAsia" w:ascii="宋体"/>
          <w:sz w:val="21"/>
          <w:szCs w:val="21"/>
        </w:rPr>
        <w:t>防灾科技学院隶属于中国地震局，是全国仅有的以防灾减灾高等教育为主、学科门类齐全的综合性全日制普通高等学校。学院始建于1975年。学院面向全国招生，现有全日制在校生8000余人,晚上高峰期同时上</w:t>
      </w:r>
      <w:r>
        <w:rPr>
          <w:rFonts w:hint="eastAsia" w:ascii="宋体"/>
          <w:color w:val="000000" w:themeColor="text1"/>
          <w:sz w:val="21"/>
          <w:szCs w:val="21"/>
          <w14:textFill>
            <w14:solidFill>
              <w14:schemeClr w14:val="tx1"/>
            </w14:solidFill>
          </w14:textFill>
        </w:rPr>
        <w:t>网在线用户数6000-6500人，大部分应用为视频。</w:t>
      </w:r>
    </w:p>
    <w:p>
      <w:pPr>
        <w:spacing w:line="360" w:lineRule="auto"/>
        <w:ind w:firstLine="480" w:firstLineChars="200"/>
        <w:rPr>
          <w:rFonts w:ascii="宋体" w:hAnsi="宋体"/>
        </w:rPr>
      </w:pPr>
      <w:r>
        <w:rPr>
          <w:rFonts w:hint="eastAsia" w:ascii="宋体" w:hAnsi="宋体"/>
        </w:rPr>
        <w:t>为了满足学院教学、科研、办公对教育网出口带宽的需求，特进行此次招标。</w:t>
      </w:r>
    </w:p>
    <w:p>
      <w:pPr>
        <w:spacing w:before="120" w:beforeLines="50" w:after="120" w:afterLines="50" w:line="360" w:lineRule="auto"/>
        <w:rPr>
          <w:rFonts w:ascii="宋体" w:hAnsi="宋体"/>
          <w:b/>
          <w:color w:val="000000" w:themeColor="text1"/>
          <w:sz w:val="21"/>
          <w:szCs w:val="21"/>
          <w14:textFill>
            <w14:solidFill>
              <w14:schemeClr w14:val="tx1"/>
            </w14:solidFill>
          </w14:textFill>
        </w:rPr>
      </w:pPr>
      <w:r>
        <w:rPr>
          <w:rFonts w:hint="eastAsia" w:ascii="宋体"/>
          <w:b/>
          <w:color w:val="000000" w:themeColor="text1"/>
          <w:sz w:val="21"/>
          <w:szCs w:val="21"/>
          <w14:textFill>
            <w14:solidFill>
              <w14:schemeClr w14:val="tx1"/>
            </w14:solidFill>
          </w14:textFill>
        </w:rPr>
        <w:t>二、项目建设内容</w:t>
      </w:r>
    </w:p>
    <w:p>
      <w:pPr>
        <w:spacing w:before="120" w:beforeLines="50" w:after="120" w:afterLines="50" w:line="360" w:lineRule="auto"/>
        <w:ind w:firstLine="422" w:firstLineChars="200"/>
        <w:rPr>
          <w:rFonts w:ascii="宋体" w:hAnsi="宋体"/>
          <w:b/>
          <w:color w:val="000000" w:themeColor="text1"/>
          <w:kern w:val="2"/>
          <w:sz w:val="21"/>
          <w:szCs w:val="21"/>
          <w14:textFill>
            <w14:solidFill>
              <w14:schemeClr w14:val="tx1"/>
            </w14:solidFill>
          </w14:textFill>
        </w:rPr>
      </w:pPr>
      <w:r>
        <w:rPr>
          <w:rFonts w:hint="eastAsia" w:ascii="宋体"/>
          <w:b/>
          <w:color w:val="000000" w:themeColor="text1"/>
          <w:sz w:val="21"/>
          <w:szCs w:val="21"/>
          <w14:textFill>
            <w14:solidFill>
              <w14:schemeClr w14:val="tx1"/>
            </w14:solidFill>
          </w14:textFill>
        </w:rPr>
        <w:t>所有IP地址都可用于</w:t>
      </w:r>
      <w:r>
        <w:rPr>
          <w:rFonts w:ascii="宋体"/>
          <w:b/>
          <w:color w:val="000000" w:themeColor="text1"/>
          <w:sz w:val="21"/>
          <w:szCs w:val="21"/>
          <w14:textFill>
            <w14:solidFill>
              <w14:schemeClr w14:val="tx1"/>
            </w14:solidFill>
          </w14:textFill>
        </w:rPr>
        <w:t>校园网出口设备中</w:t>
      </w:r>
      <w:r>
        <w:rPr>
          <w:rFonts w:hint="eastAsia" w:ascii="宋体"/>
          <w:b/>
          <w:color w:val="000000" w:themeColor="text1"/>
          <w:sz w:val="21"/>
          <w:szCs w:val="21"/>
          <w14:textFill>
            <w14:solidFill>
              <w14:schemeClr w14:val="tx1"/>
            </w14:solidFill>
          </w14:textFill>
        </w:rPr>
        <w:t>做网络</w:t>
      </w:r>
      <w:r>
        <w:rPr>
          <w:rFonts w:ascii="宋体"/>
          <w:b/>
          <w:color w:val="000000" w:themeColor="text1"/>
          <w:sz w:val="21"/>
          <w:szCs w:val="21"/>
          <w14:textFill>
            <w14:solidFill>
              <w14:schemeClr w14:val="tx1"/>
            </w14:solidFill>
          </w14:textFill>
        </w:rPr>
        <w:t>地址</w:t>
      </w:r>
      <w:r>
        <w:rPr>
          <w:rFonts w:hint="eastAsia" w:ascii="宋体"/>
          <w:b/>
          <w:color w:val="000000" w:themeColor="text1"/>
          <w:sz w:val="21"/>
          <w:szCs w:val="21"/>
          <w14:textFill>
            <w14:solidFill>
              <w14:schemeClr w14:val="tx1"/>
            </w14:solidFill>
          </w14:textFill>
        </w:rPr>
        <w:t>转换（</w:t>
      </w:r>
      <w:r>
        <w:rPr>
          <w:rFonts w:ascii="宋体"/>
          <w:b/>
          <w:color w:val="000000" w:themeColor="text1"/>
          <w:sz w:val="21"/>
          <w:szCs w:val="21"/>
          <w14:textFill>
            <w14:solidFill>
              <w14:schemeClr w14:val="tx1"/>
            </w14:solidFill>
          </w14:textFill>
        </w:rPr>
        <w:t>Network Address Translation,</w:t>
      </w:r>
      <w:r>
        <w:rPr>
          <w:rFonts w:hint="eastAsia" w:ascii="宋体"/>
          <w:b/>
          <w:color w:val="000000" w:themeColor="text1"/>
          <w:sz w:val="21"/>
          <w:szCs w:val="21"/>
          <w14:textFill>
            <w14:solidFill>
              <w14:schemeClr w14:val="tx1"/>
            </w14:solidFill>
          </w14:textFill>
        </w:rPr>
        <w:t>NAT</w:t>
      </w:r>
      <w:r>
        <w:rPr>
          <w:rFonts w:ascii="宋体"/>
          <w:b/>
          <w:color w:val="000000" w:themeColor="text1"/>
          <w:sz w:val="21"/>
          <w:szCs w:val="21"/>
          <w14:textFill>
            <w14:solidFill>
              <w14:schemeClr w14:val="tx1"/>
            </w14:solidFill>
          </w14:textFill>
        </w:rPr>
        <w:t>）</w:t>
      </w:r>
      <w:r>
        <w:rPr>
          <w:rFonts w:hint="eastAsia" w:ascii="宋体"/>
          <w:b/>
          <w:color w:val="000000" w:themeColor="text1"/>
          <w:sz w:val="21"/>
          <w:szCs w:val="21"/>
          <w14:textFill>
            <w14:solidFill>
              <w14:schemeClr w14:val="tx1"/>
            </w14:solidFill>
          </w14:textFill>
        </w:rPr>
        <w:t>，能将</w:t>
      </w:r>
      <w:r>
        <w:rPr>
          <w:rFonts w:ascii="宋体"/>
          <w:b/>
          <w:color w:val="000000" w:themeColor="text1"/>
          <w:sz w:val="21"/>
          <w:szCs w:val="21"/>
          <w14:textFill>
            <w14:solidFill>
              <w14:schemeClr w14:val="tx1"/>
            </w14:solidFill>
          </w14:textFill>
        </w:rPr>
        <w:t>校内私有地址映射成</w:t>
      </w:r>
      <w:r>
        <w:rPr>
          <w:rFonts w:hint="eastAsia" w:ascii="宋体"/>
          <w:b/>
          <w:color w:val="000000" w:themeColor="text1"/>
          <w:sz w:val="21"/>
          <w:szCs w:val="21"/>
          <w14:textFill>
            <w14:solidFill>
              <w14:schemeClr w14:val="tx1"/>
            </w14:solidFill>
          </w14:textFill>
        </w:rPr>
        <w:t>公网</w:t>
      </w:r>
      <w:r>
        <w:rPr>
          <w:rFonts w:ascii="宋体"/>
          <w:b/>
          <w:color w:val="000000" w:themeColor="text1"/>
          <w:sz w:val="21"/>
          <w:szCs w:val="21"/>
          <w14:textFill>
            <w14:solidFill>
              <w14:schemeClr w14:val="tx1"/>
            </w14:solidFill>
          </w14:textFill>
        </w:rPr>
        <w:t>地址</w:t>
      </w:r>
      <w:r>
        <w:rPr>
          <w:rFonts w:hint="eastAsia" w:ascii="宋体"/>
          <w:b/>
          <w:color w:val="000000" w:themeColor="text1"/>
          <w:sz w:val="21"/>
          <w:szCs w:val="21"/>
          <w14:textFill>
            <w14:solidFill>
              <w14:schemeClr w14:val="tx1"/>
            </w14:solidFill>
          </w14:textFill>
        </w:rPr>
        <w:t>，</w:t>
      </w:r>
      <w:r>
        <w:rPr>
          <w:rFonts w:ascii="宋体"/>
          <w:b/>
          <w:color w:val="000000" w:themeColor="text1"/>
          <w:sz w:val="21"/>
          <w:szCs w:val="21"/>
          <w14:textFill>
            <w14:solidFill>
              <w14:schemeClr w14:val="tx1"/>
            </w14:solidFill>
          </w14:textFill>
        </w:rPr>
        <w:t>或直接提供给有需要的服务器使用</w:t>
      </w:r>
      <w:r>
        <w:rPr>
          <w:rFonts w:hint="eastAsia" w:ascii="宋体"/>
          <w:b/>
          <w:color w:val="000000" w:themeColor="text1"/>
          <w:sz w:val="21"/>
          <w:szCs w:val="21"/>
          <w14:textFill>
            <w14:solidFill>
              <w14:schemeClr w14:val="tx1"/>
            </w14:solidFill>
          </w14:textFill>
        </w:rPr>
        <w:t>，IP地址能够进行备案。</w:t>
      </w:r>
    </w:p>
    <w:p>
      <w:pPr>
        <w:spacing w:before="120" w:beforeLines="50" w:after="120" w:afterLines="50" w:line="360" w:lineRule="auto"/>
        <w:rPr>
          <w:rFonts w:ascii="宋体" w:hAnsi="宋体"/>
          <w:b/>
          <w:color w:val="000000" w:themeColor="text1"/>
          <w:sz w:val="21"/>
          <w:szCs w:val="21"/>
          <w14:textFill>
            <w14:solidFill>
              <w14:schemeClr w14:val="tx1"/>
            </w14:solidFill>
          </w14:textFill>
        </w:rPr>
      </w:pPr>
      <w:r>
        <w:rPr>
          <w:rFonts w:hint="eastAsia" w:ascii="宋体"/>
          <w:b/>
          <w:color w:val="000000" w:themeColor="text1"/>
          <w:sz w:val="21"/>
          <w:szCs w:val="21"/>
          <w14:textFill>
            <w14:solidFill>
              <w14:schemeClr w14:val="tx1"/>
            </w14:solidFill>
          </w14:textFill>
        </w:rPr>
        <w:t>三、</w:t>
      </w:r>
      <w:r>
        <w:rPr>
          <w:rFonts w:hint="eastAsia" w:ascii="宋体" w:hAnsi="宋体"/>
          <w:b/>
          <w:color w:val="000000" w:themeColor="text1"/>
          <w:sz w:val="21"/>
          <w:szCs w:val="21"/>
          <w14:textFill>
            <w14:solidFill>
              <w14:schemeClr w14:val="tx1"/>
            </w14:solidFill>
          </w14:textFill>
        </w:rPr>
        <w:t>技术要求</w:t>
      </w:r>
    </w:p>
    <w:p>
      <w:pPr>
        <w:spacing w:line="360" w:lineRule="auto"/>
        <w:ind w:left="360"/>
        <w:rPr>
          <w:rFonts w:ascii="宋体" w:hAnsi="宋体"/>
        </w:rPr>
      </w:pPr>
      <w:r>
        <w:rPr>
          <w:rFonts w:hint="eastAsia" w:ascii="宋体" w:hAnsi="宋体"/>
        </w:rPr>
        <w:tab/>
      </w:r>
      <w:r>
        <w:rPr>
          <w:rFonts w:hint="eastAsia" w:ascii="宋体" w:hAnsi="宋体"/>
        </w:rPr>
        <w:t>1）购买200M网络带宽：带宽指网络下行带宽（上下行速度各不低于200Mbps）；</w:t>
      </w:r>
    </w:p>
    <w:p>
      <w:pPr>
        <w:spacing w:line="360" w:lineRule="auto"/>
        <w:ind w:left="360"/>
        <w:rPr>
          <w:rFonts w:ascii="宋体" w:hAnsi="宋体"/>
        </w:rPr>
      </w:pPr>
      <w:r>
        <w:rPr>
          <w:rFonts w:hint="eastAsia" w:ascii="宋体" w:hAnsi="宋体"/>
        </w:rPr>
        <w:tab/>
      </w:r>
      <w:r>
        <w:rPr>
          <w:rFonts w:hint="eastAsia" w:ascii="宋体" w:hAnsi="宋体"/>
        </w:rPr>
        <w:t>2）此次200M带宽需要是独享带宽，非共享带宽；</w:t>
      </w:r>
    </w:p>
    <w:p>
      <w:pPr>
        <w:spacing w:line="360" w:lineRule="auto"/>
        <w:ind w:left="360"/>
        <w:rPr>
          <w:rFonts w:ascii="宋体" w:hAnsi="宋体"/>
        </w:rPr>
      </w:pPr>
      <w:r>
        <w:rPr>
          <w:rFonts w:hint="eastAsia" w:ascii="宋体" w:hAnsi="宋体"/>
        </w:rPr>
        <w:t>3）此次购买相应带宽1年的使用权；</w:t>
      </w:r>
    </w:p>
    <w:p>
      <w:pPr>
        <w:spacing w:line="360" w:lineRule="auto"/>
        <w:rPr>
          <w:rFonts w:ascii="宋体" w:hAnsi="宋体"/>
        </w:rPr>
      </w:pPr>
      <w:r>
        <w:rPr>
          <w:rFonts w:hint="eastAsia" w:ascii="宋体" w:hAnsi="宋体"/>
        </w:rPr>
        <w:tab/>
      </w:r>
      <w:r>
        <w:rPr>
          <w:rFonts w:hint="eastAsia" w:ascii="宋体" w:hAnsi="宋体"/>
        </w:rPr>
        <w:t>4）需要提供带宽购买时间内的相关服务，确保网络的随时通畅及网络质量；</w:t>
      </w:r>
    </w:p>
    <w:p>
      <w:pPr>
        <w:spacing w:line="360" w:lineRule="auto"/>
        <w:rPr>
          <w:rFonts w:ascii="宋体" w:hAnsi="宋体"/>
        </w:rPr>
      </w:pPr>
      <w:r>
        <w:rPr>
          <w:rFonts w:hint="eastAsia" w:ascii="宋体" w:hAnsi="宋体"/>
        </w:rPr>
        <w:tab/>
      </w:r>
      <w:r>
        <w:rPr>
          <w:rFonts w:hint="eastAsia" w:ascii="宋体" w:hAnsi="宋体"/>
        </w:rPr>
        <w:t>5）需要提供满足学院需求的教育网公网IP地址；</w:t>
      </w:r>
    </w:p>
    <w:p>
      <w:pPr>
        <w:rPr>
          <w:rFonts w:ascii="宋体" w:hAnsi="宋体" w:cs="宋体"/>
        </w:rPr>
      </w:pPr>
      <w:r>
        <w:rPr>
          <w:rFonts w:hint="eastAsia" w:ascii="宋体" w:hAnsi="宋体"/>
        </w:rPr>
        <w:t xml:space="preserve">    6)</w:t>
      </w:r>
      <w:r>
        <w:t xml:space="preserve"> </w:t>
      </w:r>
      <w:r>
        <w:rPr>
          <w:rFonts w:ascii="宋体" w:hAnsi="宋体" w:cs="宋体"/>
        </w:rPr>
        <w:t>平均丢包率不高于0.1%，到达80%的网站时延不超过50ms</w:t>
      </w:r>
      <w:r>
        <w:rPr>
          <w:rFonts w:hint="eastAsia" w:ascii="宋体" w:hAnsi="宋体" w:cs="宋体"/>
        </w:rPr>
        <w:t>;</w:t>
      </w:r>
      <w:r>
        <w:rPr>
          <w:rFonts w:ascii="宋体" w:hAnsi="宋体" w:cs="宋体"/>
        </w:rPr>
        <w:t xml:space="preserve"> </w:t>
      </w:r>
    </w:p>
    <w:p>
      <w:pPr>
        <w:spacing w:line="360" w:lineRule="auto"/>
        <w:rPr>
          <w:rFonts w:ascii="宋体" w:hAnsi="宋体"/>
        </w:rPr>
      </w:pPr>
      <w:r>
        <w:rPr>
          <w:rFonts w:hint="eastAsia" w:ascii="宋体" w:hAnsi="宋体"/>
        </w:rPr>
        <w:tab/>
      </w:r>
      <w:r>
        <w:rPr>
          <w:rFonts w:hint="eastAsia" w:ascii="宋体" w:hAnsi="宋体"/>
        </w:rPr>
        <w:t>7）提供确保网络畅通所需的网络设备。</w:t>
      </w:r>
    </w:p>
    <w:p>
      <w:pPr>
        <w:spacing w:before="120" w:beforeLines="50" w:after="120" w:afterLines="50" w:line="360" w:lineRule="auto"/>
        <w:rPr>
          <w:rFonts w:asci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四</w:t>
      </w:r>
      <w:r>
        <w:rPr>
          <w:rFonts w:hint="eastAsia" w:ascii="宋体"/>
          <w:b/>
          <w:color w:val="000000" w:themeColor="text1"/>
          <w:sz w:val="21"/>
          <w:szCs w:val="21"/>
          <w14:textFill>
            <w14:solidFill>
              <w14:schemeClr w14:val="tx1"/>
            </w14:solidFill>
          </w14:textFill>
        </w:rPr>
        <w:t>、服务要求</w:t>
      </w:r>
    </w:p>
    <w:p>
      <w:pPr>
        <w:spacing w:before="120" w:beforeLines="50" w:after="120" w:afterLines="50" w:line="360" w:lineRule="auto"/>
        <w:ind w:firstLine="420" w:firstLineChars="200"/>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1、运维服务期：合同签订后1年。</w:t>
      </w:r>
    </w:p>
    <w:p>
      <w:pPr>
        <w:spacing w:before="120" w:beforeLines="50" w:after="120" w:afterLines="50" w:line="360" w:lineRule="auto"/>
        <w:ind w:firstLine="420" w:firstLineChars="200"/>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2、机房双备，双路由，双机房位置直线距离不少于2公里，路由不得在同一条主干网内。</w:t>
      </w:r>
    </w:p>
    <w:p>
      <w:pPr>
        <w:spacing w:before="120" w:beforeLines="50" w:after="120" w:afterLines="50" w:line="360" w:lineRule="auto"/>
        <w:ind w:firstLine="420" w:firstLineChars="200"/>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3、出现网络故障时，双路由切换相应时间不得超过20分钟</w:t>
      </w:r>
    </w:p>
    <w:p>
      <w:pPr>
        <w:spacing w:before="120" w:beforeLines="50" w:after="120" w:afterLines="50" w:line="360" w:lineRule="auto"/>
        <w:ind w:firstLine="420" w:firstLineChars="200"/>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4、带宽份额最大的提供的基础公网IP地址数6144个。</w:t>
      </w:r>
    </w:p>
    <w:p>
      <w:pPr>
        <w:spacing w:before="120" w:beforeLines="50" w:after="120" w:afterLines="50" w:line="360" w:lineRule="auto"/>
        <w:ind w:firstLine="420" w:firstLineChars="200"/>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5、合同期内，供应商免费提供升级及更新服务。</w:t>
      </w:r>
    </w:p>
    <w:p>
      <w:pPr>
        <w:spacing w:before="120" w:beforeLines="50" w:after="120" w:afterLines="50" w:line="360" w:lineRule="auto"/>
        <w:ind w:firstLine="420" w:firstLineChars="200"/>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6.提供7×24小时的维护和服务，并提供响应时间在4小时内的响应服务。在安全服务期内，如发生安全事故，需提供2小时内的现场紧急响应。</w:t>
      </w:r>
    </w:p>
    <w:p>
      <w:pPr>
        <w:spacing w:before="120" w:beforeLines="50" w:after="120" w:afterLines="50" w:line="360" w:lineRule="auto"/>
        <w:ind w:firstLine="420" w:firstLineChars="200"/>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7.提供互联网专线的直接运行维护人员的联系方式，一旦变更应当及时通知甲方。</w:t>
      </w:r>
    </w:p>
    <w:p>
      <w:pPr>
        <w:spacing w:before="120" w:beforeLines="50" w:after="120" w:afterLines="50" w:line="360" w:lineRule="auto"/>
        <w:ind w:firstLine="420" w:firstLineChars="200"/>
        <w:rPr>
          <w:rFonts w:ascii="宋体" w:hAnsi="宋体"/>
          <w:b/>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8.链路中断修复时间，除因不可抗力导致链路中断以外，光纤问题负责在8小时内修复（因市政工程破坏24小时），用户节点到光纤收发器端口的设备故障（6小时内）每月平均修复及时率≥95%。</w:t>
      </w:r>
    </w:p>
    <w:p>
      <w:pPr>
        <w:spacing w:before="120" w:beforeLines="50" w:after="120" w:afterLines="50" w:line="360" w:lineRule="auto"/>
        <w:rPr>
          <w:rFonts w:ascii="宋体" w:hAnsi="宋体"/>
          <w:b/>
          <w:sz w:val="21"/>
          <w:szCs w:val="21"/>
        </w:rPr>
      </w:pPr>
      <w:r>
        <w:rPr>
          <w:rFonts w:hint="eastAsia" w:ascii="宋体"/>
          <w:b/>
          <w:sz w:val="21"/>
          <w:szCs w:val="21"/>
        </w:rPr>
        <w:t>五</w:t>
      </w:r>
      <w:r>
        <w:rPr>
          <w:rFonts w:hint="eastAsia" w:ascii="宋体" w:hAnsi="宋体"/>
          <w:b/>
          <w:sz w:val="21"/>
          <w:szCs w:val="21"/>
        </w:rPr>
        <w:t>、项目实施要求</w:t>
      </w:r>
    </w:p>
    <w:p>
      <w:pPr>
        <w:spacing w:before="120" w:beforeLines="50" w:after="120" w:afterLines="50" w:line="360" w:lineRule="auto"/>
        <w:ind w:firstLine="420" w:firstLineChars="200"/>
        <w:rPr>
          <w:rFonts w:ascii="宋体" w:hAnsi="宋体"/>
          <w:sz w:val="21"/>
          <w:szCs w:val="21"/>
        </w:rPr>
      </w:pPr>
      <w:r>
        <w:rPr>
          <w:rFonts w:hint="eastAsia" w:ascii="宋体" w:hAnsi="宋体"/>
          <w:sz w:val="21"/>
          <w:szCs w:val="21"/>
        </w:rPr>
        <w:t>1、实施地点：防灾科技学院南北校区。</w:t>
      </w:r>
    </w:p>
    <w:p>
      <w:pPr>
        <w:spacing w:before="120" w:beforeLines="50" w:after="120" w:afterLines="50" w:line="360" w:lineRule="auto"/>
        <w:rPr>
          <w:rFonts w:ascii="宋体"/>
          <w:b/>
          <w:sz w:val="21"/>
          <w:szCs w:val="21"/>
        </w:rPr>
      </w:pPr>
      <w:r>
        <w:rPr>
          <w:rFonts w:hint="eastAsia" w:ascii="宋体"/>
          <w:b/>
          <w:sz w:val="21"/>
          <w:szCs w:val="21"/>
        </w:rPr>
        <w:t>六、时间进度要求</w:t>
      </w:r>
    </w:p>
    <w:p>
      <w:pPr>
        <w:spacing w:before="120" w:beforeLines="50" w:after="120" w:afterLines="50" w:line="360" w:lineRule="auto"/>
        <w:ind w:firstLine="422" w:firstLineChars="200"/>
        <w:rPr>
          <w:rFonts w:ascii="宋体"/>
          <w:b/>
          <w:sz w:val="21"/>
          <w:szCs w:val="21"/>
        </w:rPr>
      </w:pPr>
      <w:r>
        <w:rPr>
          <w:rFonts w:hint="eastAsia" w:ascii="宋体"/>
          <w:b/>
          <w:sz w:val="21"/>
          <w:szCs w:val="21"/>
        </w:rPr>
        <w:t>采购合同签订后10个工作日内完成。</w:t>
      </w:r>
    </w:p>
    <w:p>
      <w:pPr>
        <w:spacing w:before="120" w:beforeLines="50" w:after="120" w:afterLines="50" w:line="360" w:lineRule="auto"/>
        <w:ind w:firstLine="420" w:firstLineChars="200"/>
        <w:rPr>
          <w:rFonts w:ascii="宋体"/>
          <w:color w:val="FF0000"/>
          <w:sz w:val="21"/>
          <w:szCs w:val="21"/>
        </w:rPr>
      </w:pPr>
    </w:p>
    <w:p>
      <w:pPr>
        <w:spacing w:before="120" w:beforeLines="50" w:after="120" w:afterLines="50" w:line="360" w:lineRule="auto"/>
        <w:rPr>
          <w:rFonts w:ascii="宋体"/>
          <w:sz w:val="21"/>
          <w:szCs w:val="21"/>
        </w:rPr>
      </w:pPr>
    </w:p>
    <w:p>
      <w:pPr>
        <w:spacing w:before="120" w:beforeLines="50" w:after="120" w:afterLines="50"/>
        <w:rPr>
          <w:rFonts w:ascii="宋体"/>
          <w:sz w:val="21"/>
          <w:szCs w:val="21"/>
        </w:rPr>
      </w:pPr>
    </w:p>
    <w:p>
      <w:pPr>
        <w:spacing w:before="120" w:beforeLines="50" w:after="120" w:afterLines="50"/>
        <w:rPr>
          <w:rFonts w:ascii="宋体"/>
          <w:b/>
          <w:sz w:val="21"/>
          <w:szCs w:val="21"/>
        </w:rPr>
      </w:pPr>
    </w:p>
    <w:p>
      <w:pPr>
        <w:spacing w:before="120" w:beforeLines="50" w:after="120" w:afterLines="50"/>
        <w:rPr>
          <w:rFonts w:ascii="宋体"/>
          <w:b/>
          <w:sz w:val="21"/>
          <w:szCs w:val="21"/>
        </w:rPr>
        <w:sectPr>
          <w:pgSz w:w="11907" w:h="16840"/>
          <w:pgMar w:top="1440" w:right="1080" w:bottom="1440" w:left="1080" w:header="851" w:footer="851" w:gutter="0"/>
          <w:cols w:space="720" w:num="1"/>
          <w:docGrid w:linePitch="312" w:charSpace="0"/>
        </w:sectPr>
      </w:pPr>
    </w:p>
    <w:p>
      <w:pPr>
        <w:pStyle w:val="2"/>
        <w:numPr>
          <w:ilvl w:val="0"/>
          <w:numId w:val="0"/>
        </w:numPr>
        <w:ind w:left="288"/>
        <w:jc w:val="center"/>
        <w:rPr>
          <w:sz w:val="32"/>
          <w:szCs w:val="32"/>
        </w:rPr>
      </w:pPr>
      <w:bookmarkStart w:id="102" w:name="_Toc522963611"/>
      <w:r>
        <w:rPr>
          <w:rFonts w:hint="eastAsia"/>
          <w:sz w:val="32"/>
          <w:szCs w:val="32"/>
        </w:rPr>
        <w:t xml:space="preserve">第六部分  </w:t>
      </w:r>
      <w:bookmarkStart w:id="103" w:name="_Toc86202593"/>
      <w:r>
        <w:rPr>
          <w:rFonts w:hint="eastAsia"/>
          <w:sz w:val="32"/>
          <w:szCs w:val="32"/>
        </w:rPr>
        <w:t>采 购 合 同</w:t>
      </w:r>
      <w:bookmarkEnd w:id="96"/>
      <w:bookmarkEnd w:id="97"/>
      <w:bookmarkEnd w:id="98"/>
      <w:bookmarkEnd w:id="99"/>
      <w:bookmarkEnd w:id="100"/>
      <w:bookmarkEnd w:id="102"/>
      <w:bookmarkEnd w:id="103"/>
    </w:p>
    <w:p>
      <w:pPr>
        <w:spacing w:line="520" w:lineRule="exact"/>
        <w:ind w:firstLine="735" w:firstLineChars="350"/>
        <w:rPr>
          <w:rFonts w:ascii="宋体" w:hAnsi="宋体"/>
          <w:sz w:val="21"/>
          <w:szCs w:val="21"/>
        </w:rPr>
      </w:pPr>
    </w:p>
    <w:p>
      <w:pPr>
        <w:spacing w:line="520" w:lineRule="exact"/>
        <w:ind w:firstLine="735" w:firstLineChars="350"/>
        <w:rPr>
          <w:rFonts w:ascii="宋体" w:hAnsi="宋体"/>
          <w:sz w:val="21"/>
          <w:szCs w:val="21"/>
        </w:rPr>
        <w:sectPr>
          <w:headerReference r:id="rId8" w:type="default"/>
          <w:pgSz w:w="11906" w:h="16838"/>
          <w:pgMar w:top="567" w:right="1134" w:bottom="1134" w:left="1417" w:header="567" w:footer="1134" w:gutter="0"/>
          <w:cols w:space="425" w:num="1"/>
          <w:formProt w:val="0"/>
          <w:docGrid w:type="lines" w:linePitch="326" w:charSpace="0"/>
        </w:sectPr>
      </w:pPr>
    </w:p>
    <w:p>
      <w:pPr>
        <w:spacing w:line="640" w:lineRule="exact"/>
        <w:rPr>
          <w:rFonts w:ascii="宋体" w:hAnsi="宋体"/>
          <w:sz w:val="21"/>
          <w:szCs w:val="21"/>
          <w:u w:val="single"/>
        </w:rPr>
      </w:pPr>
      <w:r>
        <w:rPr>
          <w:rFonts w:hint="eastAsia" w:ascii="宋体" w:hAnsi="宋体"/>
          <w:sz w:val="21"/>
          <w:szCs w:val="21"/>
        </w:rPr>
        <w:t>委托方(甲方)：</w:t>
      </w:r>
      <w:r>
        <w:rPr>
          <w:rFonts w:hint="eastAsia" w:ascii="宋体" w:hAnsi="宋体"/>
          <w:sz w:val="21"/>
          <w:szCs w:val="21"/>
          <w:u w:val="single"/>
        </w:rPr>
        <w:t xml:space="preserve">                           </w:t>
      </w:r>
    </w:p>
    <w:p>
      <w:pPr>
        <w:spacing w:line="640" w:lineRule="exact"/>
        <w:rPr>
          <w:rFonts w:ascii="宋体" w:hAnsi="宋体"/>
          <w:sz w:val="21"/>
          <w:szCs w:val="21"/>
          <w:u w:val="single"/>
        </w:rPr>
      </w:pPr>
      <w:r>
        <w:rPr>
          <w:rFonts w:hint="eastAsia" w:ascii="宋体" w:hAnsi="宋体"/>
          <w:sz w:val="21"/>
          <w:szCs w:val="21"/>
        </w:rPr>
        <w:t>住</w:t>
      </w:r>
      <w:r>
        <w:rPr>
          <w:rFonts w:ascii="宋体" w:hAnsi="宋体"/>
          <w:sz w:val="21"/>
          <w:szCs w:val="21"/>
        </w:rPr>
        <w:t xml:space="preserve">  </w:t>
      </w:r>
      <w:r>
        <w:rPr>
          <w:rFonts w:hint="eastAsia" w:ascii="宋体" w:hAnsi="宋体"/>
          <w:sz w:val="21"/>
          <w:szCs w:val="21"/>
        </w:rPr>
        <w:t>所</w:t>
      </w:r>
      <w:r>
        <w:rPr>
          <w:rFonts w:ascii="宋体" w:hAnsi="宋体"/>
          <w:sz w:val="21"/>
          <w:szCs w:val="21"/>
        </w:rPr>
        <w:t xml:space="preserve">  </w:t>
      </w:r>
      <w:r>
        <w:rPr>
          <w:rFonts w:hint="eastAsia" w:ascii="宋体" w:hAnsi="宋体"/>
          <w:sz w:val="21"/>
          <w:szCs w:val="21"/>
        </w:rPr>
        <w:t>地：</w:t>
      </w:r>
      <w:r>
        <w:rPr>
          <w:rFonts w:hint="eastAsia" w:ascii="宋体" w:hAnsi="宋体"/>
          <w:sz w:val="21"/>
          <w:szCs w:val="21"/>
          <w:u w:val="single"/>
        </w:rPr>
        <w:t xml:space="preserve">                             </w:t>
      </w:r>
    </w:p>
    <w:p>
      <w:pPr>
        <w:spacing w:line="640" w:lineRule="exact"/>
        <w:rPr>
          <w:rFonts w:ascii="宋体" w:hAnsi="宋体"/>
          <w:sz w:val="21"/>
          <w:szCs w:val="21"/>
          <w:u w:val="single"/>
        </w:rPr>
      </w:pPr>
      <w:r>
        <w:rPr>
          <w:rFonts w:hint="eastAsia" w:ascii="宋体" w:hAnsi="宋体"/>
          <w:sz w:val="21"/>
          <w:szCs w:val="21"/>
        </w:rPr>
        <w:t>法定代表人：</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p>
    <w:p>
      <w:pPr>
        <w:tabs>
          <w:tab w:val="left" w:pos="1050"/>
        </w:tabs>
        <w:spacing w:line="640" w:lineRule="exact"/>
        <w:rPr>
          <w:rFonts w:ascii="宋体" w:hAnsi="宋体"/>
          <w:sz w:val="21"/>
          <w:szCs w:val="21"/>
          <w:u w:val="single"/>
        </w:rPr>
      </w:pPr>
      <w:r>
        <w:rPr>
          <w:rFonts w:hint="eastAsia" w:ascii="宋体" w:hAnsi="宋体"/>
          <w:sz w:val="21"/>
          <w:szCs w:val="21"/>
        </w:rPr>
        <w:t>项目联系人：</w:t>
      </w:r>
      <w:r>
        <w:rPr>
          <w:rFonts w:hint="eastAsia" w:ascii="宋体" w:hAnsi="宋体"/>
          <w:sz w:val="21"/>
          <w:szCs w:val="21"/>
          <w:u w:val="single"/>
        </w:rPr>
        <w:t xml:space="preserve">                             </w:t>
      </w:r>
    </w:p>
    <w:p>
      <w:pPr>
        <w:spacing w:line="640" w:lineRule="exact"/>
        <w:rPr>
          <w:rFonts w:ascii="宋体" w:hAnsi="宋体"/>
          <w:sz w:val="21"/>
          <w:szCs w:val="21"/>
        </w:rPr>
      </w:pPr>
      <w:r>
        <w:rPr>
          <w:rFonts w:hint="eastAsia" w:ascii="宋体" w:hAnsi="宋体"/>
          <w:sz w:val="21"/>
          <w:szCs w:val="21"/>
        </w:rPr>
        <w:t>联系方式</w:t>
      </w:r>
      <w:r>
        <w:rPr>
          <w:rFonts w:ascii="宋体" w:hAnsi="宋体"/>
          <w:sz w:val="21"/>
          <w:szCs w:val="21"/>
        </w:rPr>
        <w:t xml:space="preserve"> </w:t>
      </w:r>
    </w:p>
    <w:p>
      <w:pPr>
        <w:tabs>
          <w:tab w:val="left" w:pos="8100"/>
        </w:tabs>
        <w:spacing w:line="640" w:lineRule="exact"/>
        <w:rPr>
          <w:rFonts w:ascii="宋体" w:hAnsi="宋体"/>
          <w:sz w:val="21"/>
          <w:szCs w:val="21"/>
          <w:u w:val="single"/>
        </w:rPr>
      </w:pPr>
      <w:r>
        <w:rPr>
          <w:rFonts w:hint="eastAsia" w:ascii="宋体" w:hAnsi="宋体"/>
          <w:sz w:val="21"/>
          <w:szCs w:val="21"/>
        </w:rPr>
        <w:t>通讯地址：</w:t>
      </w:r>
      <w:r>
        <w:rPr>
          <w:rFonts w:hint="eastAsia" w:ascii="宋体" w:hAnsi="宋体"/>
          <w:sz w:val="21"/>
          <w:szCs w:val="21"/>
          <w:u w:val="single"/>
        </w:rPr>
        <w:t xml:space="preserve">                               </w:t>
      </w:r>
    </w:p>
    <w:p>
      <w:pPr>
        <w:spacing w:line="640" w:lineRule="exact"/>
        <w:rPr>
          <w:rFonts w:ascii="宋体" w:hAnsi="宋体"/>
          <w:sz w:val="21"/>
          <w:szCs w:val="21"/>
        </w:rPr>
      </w:pPr>
      <w:r>
        <w:rPr>
          <w:rFonts w:hint="eastAsia" w:ascii="宋体" w:hAnsi="宋体"/>
          <w:sz w:val="21"/>
          <w:szCs w:val="21"/>
        </w:rPr>
        <w:t>电    话：</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p>
    <w:p>
      <w:pPr>
        <w:spacing w:line="640" w:lineRule="exact"/>
        <w:rPr>
          <w:rFonts w:ascii="宋体" w:hAnsi="宋体"/>
          <w:sz w:val="21"/>
          <w:szCs w:val="21"/>
          <w:u w:val="single"/>
        </w:rPr>
      </w:pPr>
      <w:r>
        <w:rPr>
          <w:rFonts w:hint="eastAsia" w:ascii="宋体" w:hAnsi="宋体"/>
          <w:sz w:val="21"/>
          <w:szCs w:val="21"/>
        </w:rPr>
        <w:t>传    真：</w:t>
      </w:r>
      <w:r>
        <w:rPr>
          <w:rFonts w:hint="eastAsia" w:ascii="宋体" w:hAnsi="宋体"/>
          <w:sz w:val="21"/>
          <w:szCs w:val="21"/>
          <w:u w:val="single"/>
        </w:rPr>
        <w:t xml:space="preserve">                               </w:t>
      </w:r>
    </w:p>
    <w:p>
      <w:pPr>
        <w:spacing w:line="640" w:lineRule="exact"/>
        <w:rPr>
          <w:rFonts w:ascii="宋体" w:hAnsi="宋体"/>
          <w:sz w:val="21"/>
          <w:szCs w:val="21"/>
          <w:u w:val="single"/>
        </w:rPr>
      </w:pPr>
      <w:r>
        <w:rPr>
          <w:rFonts w:hint="eastAsia" w:ascii="宋体" w:hAnsi="宋体"/>
          <w:sz w:val="21"/>
          <w:szCs w:val="21"/>
        </w:rPr>
        <w:t>电子信箱：</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p>
    <w:p>
      <w:pPr>
        <w:spacing w:line="640" w:lineRule="exact"/>
        <w:rPr>
          <w:rFonts w:ascii="宋体" w:hAnsi="宋体"/>
          <w:sz w:val="21"/>
          <w:szCs w:val="21"/>
          <w:u w:val="single"/>
        </w:rPr>
      </w:pPr>
      <w:r>
        <w:rPr>
          <w:rFonts w:hint="eastAsia" w:ascii="宋体" w:hAnsi="宋体"/>
          <w:sz w:val="21"/>
          <w:szCs w:val="21"/>
        </w:rPr>
        <w:t>受托方(乙方)：</w:t>
      </w:r>
      <w:r>
        <w:rPr>
          <w:rFonts w:hint="eastAsia" w:ascii="宋体" w:hAnsi="宋体"/>
          <w:sz w:val="21"/>
          <w:szCs w:val="21"/>
          <w:u w:val="single"/>
        </w:rPr>
        <w:t xml:space="preserve">                           </w:t>
      </w:r>
    </w:p>
    <w:p>
      <w:pPr>
        <w:spacing w:line="640" w:lineRule="exact"/>
        <w:rPr>
          <w:rFonts w:ascii="宋体" w:hAnsi="宋体"/>
          <w:sz w:val="21"/>
          <w:szCs w:val="21"/>
          <w:u w:val="single"/>
        </w:rPr>
      </w:pPr>
      <w:r>
        <w:rPr>
          <w:rFonts w:hint="eastAsia" w:ascii="宋体" w:hAnsi="宋体"/>
          <w:sz w:val="21"/>
          <w:szCs w:val="21"/>
        </w:rPr>
        <w:t>住</w:t>
      </w:r>
      <w:r>
        <w:rPr>
          <w:rFonts w:ascii="宋体" w:hAnsi="宋体"/>
          <w:sz w:val="21"/>
          <w:szCs w:val="21"/>
        </w:rPr>
        <w:t xml:space="preserve">  </w:t>
      </w:r>
      <w:r>
        <w:rPr>
          <w:rFonts w:hint="eastAsia" w:ascii="宋体" w:hAnsi="宋体"/>
          <w:sz w:val="21"/>
          <w:szCs w:val="21"/>
        </w:rPr>
        <w:t>所</w:t>
      </w:r>
      <w:r>
        <w:rPr>
          <w:rFonts w:ascii="宋体" w:hAnsi="宋体"/>
          <w:sz w:val="21"/>
          <w:szCs w:val="21"/>
        </w:rPr>
        <w:t xml:space="preserve">  </w:t>
      </w:r>
      <w:r>
        <w:rPr>
          <w:rFonts w:hint="eastAsia" w:ascii="宋体" w:hAnsi="宋体"/>
          <w:sz w:val="21"/>
          <w:szCs w:val="21"/>
        </w:rPr>
        <w:t>地：</w:t>
      </w:r>
      <w:r>
        <w:rPr>
          <w:rFonts w:hint="eastAsia" w:ascii="宋体" w:hAnsi="宋体"/>
          <w:sz w:val="21"/>
          <w:szCs w:val="21"/>
          <w:u w:val="single"/>
        </w:rPr>
        <w:t xml:space="preserve">                             </w:t>
      </w:r>
    </w:p>
    <w:p>
      <w:pPr>
        <w:spacing w:line="640" w:lineRule="exact"/>
        <w:rPr>
          <w:rFonts w:ascii="宋体" w:hAnsi="宋体"/>
          <w:sz w:val="21"/>
          <w:szCs w:val="21"/>
          <w:u w:val="single"/>
        </w:rPr>
      </w:pPr>
      <w:r>
        <w:rPr>
          <w:rFonts w:hint="eastAsia" w:ascii="宋体" w:hAnsi="宋体"/>
          <w:sz w:val="21"/>
          <w:szCs w:val="21"/>
        </w:rPr>
        <w:t>法定代表人：</w:t>
      </w:r>
      <w:r>
        <w:rPr>
          <w:rFonts w:hint="eastAsia" w:ascii="宋体" w:hAnsi="宋体"/>
          <w:sz w:val="21"/>
          <w:szCs w:val="21"/>
          <w:u w:val="single"/>
        </w:rPr>
        <w:t xml:space="preserve">                             </w:t>
      </w:r>
    </w:p>
    <w:p>
      <w:pPr>
        <w:spacing w:line="640" w:lineRule="exact"/>
        <w:rPr>
          <w:rFonts w:ascii="宋体" w:hAnsi="宋体"/>
          <w:sz w:val="21"/>
          <w:szCs w:val="21"/>
          <w:u w:val="single"/>
        </w:rPr>
      </w:pPr>
      <w:r>
        <w:rPr>
          <w:rFonts w:hint="eastAsia" w:ascii="宋体" w:hAnsi="宋体"/>
          <w:sz w:val="21"/>
          <w:szCs w:val="21"/>
        </w:rPr>
        <w:t>项目联系人：</w:t>
      </w:r>
      <w:r>
        <w:rPr>
          <w:rFonts w:hint="eastAsia" w:ascii="宋体" w:hAnsi="宋体"/>
          <w:sz w:val="21"/>
          <w:szCs w:val="21"/>
          <w:u w:val="single"/>
        </w:rPr>
        <w:t xml:space="preserve">                             </w:t>
      </w:r>
    </w:p>
    <w:p>
      <w:pPr>
        <w:spacing w:line="640" w:lineRule="exact"/>
        <w:rPr>
          <w:rFonts w:ascii="宋体" w:hAnsi="宋体"/>
          <w:sz w:val="21"/>
          <w:szCs w:val="21"/>
        </w:rPr>
      </w:pPr>
      <w:r>
        <w:rPr>
          <w:rFonts w:hint="eastAsia" w:ascii="宋体" w:hAnsi="宋体"/>
          <w:sz w:val="21"/>
          <w:szCs w:val="21"/>
        </w:rPr>
        <w:t>联系方式</w:t>
      </w:r>
      <w:r>
        <w:rPr>
          <w:rFonts w:ascii="宋体" w:hAnsi="宋体"/>
          <w:sz w:val="21"/>
          <w:szCs w:val="21"/>
        </w:rPr>
        <w:t xml:space="preserve"> </w:t>
      </w:r>
    </w:p>
    <w:p>
      <w:pPr>
        <w:tabs>
          <w:tab w:val="left" w:pos="8100"/>
        </w:tabs>
        <w:spacing w:line="640" w:lineRule="exact"/>
        <w:rPr>
          <w:rFonts w:ascii="宋体" w:hAnsi="宋体"/>
          <w:sz w:val="21"/>
          <w:szCs w:val="21"/>
          <w:u w:val="single"/>
        </w:rPr>
      </w:pPr>
      <w:r>
        <w:rPr>
          <w:rFonts w:hint="eastAsia" w:ascii="宋体" w:hAnsi="宋体"/>
          <w:sz w:val="21"/>
          <w:szCs w:val="21"/>
        </w:rPr>
        <w:t>通讯地址：</w:t>
      </w:r>
      <w:r>
        <w:rPr>
          <w:rFonts w:hint="eastAsia" w:ascii="宋体" w:hAnsi="宋体"/>
          <w:sz w:val="21"/>
          <w:szCs w:val="21"/>
          <w:u w:val="single"/>
        </w:rPr>
        <w:t xml:space="preserve">                               </w:t>
      </w:r>
    </w:p>
    <w:p>
      <w:pPr>
        <w:spacing w:line="640" w:lineRule="exact"/>
        <w:rPr>
          <w:rFonts w:ascii="宋体" w:hAnsi="宋体"/>
          <w:sz w:val="21"/>
          <w:szCs w:val="21"/>
        </w:rPr>
      </w:pPr>
      <w:r>
        <w:rPr>
          <w:rFonts w:hint="eastAsia" w:ascii="宋体" w:hAnsi="宋体"/>
          <w:sz w:val="21"/>
          <w:szCs w:val="21"/>
        </w:rPr>
        <w:t>电    话：</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p>
    <w:p>
      <w:pPr>
        <w:spacing w:line="640" w:lineRule="exact"/>
        <w:rPr>
          <w:rFonts w:ascii="宋体" w:hAnsi="宋体"/>
          <w:sz w:val="21"/>
          <w:szCs w:val="21"/>
          <w:u w:val="single"/>
        </w:rPr>
      </w:pPr>
      <w:r>
        <w:rPr>
          <w:rFonts w:hint="eastAsia" w:ascii="宋体" w:hAnsi="宋体"/>
          <w:sz w:val="21"/>
          <w:szCs w:val="21"/>
        </w:rPr>
        <w:t>传    真：</w:t>
      </w:r>
      <w:r>
        <w:rPr>
          <w:rFonts w:hint="eastAsia" w:ascii="宋体" w:hAnsi="宋体"/>
          <w:sz w:val="21"/>
          <w:szCs w:val="21"/>
          <w:u w:val="single"/>
        </w:rPr>
        <w:t xml:space="preserve">                               </w:t>
      </w:r>
    </w:p>
    <w:p>
      <w:pPr>
        <w:spacing w:line="640" w:lineRule="exact"/>
        <w:rPr>
          <w:rFonts w:ascii="宋体" w:hAnsi="宋体"/>
          <w:sz w:val="21"/>
          <w:szCs w:val="21"/>
          <w:u w:val="single"/>
        </w:rPr>
      </w:pPr>
      <w:r>
        <w:rPr>
          <w:rFonts w:hint="eastAsia" w:ascii="宋体" w:hAnsi="宋体"/>
          <w:sz w:val="21"/>
          <w:szCs w:val="21"/>
        </w:rPr>
        <w:t>电子信箱：</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p>
    <w:p>
      <w:pPr>
        <w:spacing w:line="520" w:lineRule="exact"/>
        <w:ind w:firstLine="570"/>
        <w:rPr>
          <w:rFonts w:ascii="宋体" w:hAnsi="宋体"/>
          <w:sz w:val="21"/>
          <w:szCs w:val="21"/>
        </w:rPr>
        <w:sectPr>
          <w:type w:val="continuous"/>
          <w:pgSz w:w="11906" w:h="16838"/>
          <w:pgMar w:top="567" w:right="1134" w:bottom="1134" w:left="1417" w:header="1418" w:footer="1134" w:gutter="0"/>
          <w:cols w:space="425" w:num="2"/>
          <w:formProt w:val="0"/>
          <w:docGrid w:type="lines" w:linePitch="312" w:charSpace="0"/>
        </w:sectPr>
      </w:pPr>
    </w:p>
    <w:p>
      <w:pPr>
        <w:spacing w:line="520" w:lineRule="exact"/>
        <w:ind w:firstLine="570"/>
        <w:rPr>
          <w:rFonts w:ascii="宋体" w:hAnsi="宋体"/>
          <w:sz w:val="21"/>
          <w:szCs w:val="21"/>
        </w:rPr>
      </w:pPr>
    </w:p>
    <w:p>
      <w:pPr>
        <w:spacing w:line="520" w:lineRule="exact"/>
        <w:ind w:firstLine="570"/>
        <w:rPr>
          <w:rFonts w:ascii="宋体" w:hAnsi="宋体"/>
          <w:sz w:val="21"/>
          <w:szCs w:val="21"/>
        </w:rPr>
      </w:pPr>
    </w:p>
    <w:p>
      <w:pPr>
        <w:spacing w:line="520" w:lineRule="exact"/>
        <w:ind w:firstLine="454"/>
        <w:rPr>
          <w:rFonts w:ascii="宋体" w:hAnsi="宋体"/>
          <w:sz w:val="21"/>
          <w:szCs w:val="21"/>
          <w:u w:val="single"/>
        </w:rPr>
      </w:pPr>
      <w:r>
        <w:rPr>
          <w:rFonts w:hint="eastAsia" w:ascii="宋体" w:hAnsi="宋体"/>
          <w:sz w:val="21"/>
          <w:szCs w:val="21"/>
        </w:rPr>
        <w:t>本合同甲方委托乙方就</w:t>
      </w:r>
      <w:r>
        <w:rPr>
          <w:rFonts w:hint="eastAsia" w:ascii="宋体" w:hAnsi="宋体"/>
          <w:sz w:val="21"/>
          <w:szCs w:val="21"/>
          <w:u w:val="single"/>
        </w:rPr>
        <w:t xml:space="preserve">                               </w:t>
      </w:r>
      <w:r>
        <w:rPr>
          <w:rFonts w:hint="eastAsia" w:ascii="宋体" w:hAnsi="宋体"/>
          <w:sz w:val="21"/>
          <w:szCs w:val="21"/>
        </w:rPr>
        <w:t>项目进行的专项技术服务，并支付相应的技术服务报酬。双方经过平等协商，在真实、充分地表达各自意愿的基础上，根据《中华人民共和国合同法》的规定，达成如下合同，并由双方共同恪守。</w:t>
      </w:r>
    </w:p>
    <w:p>
      <w:pPr>
        <w:spacing w:line="520" w:lineRule="exact"/>
        <w:rPr>
          <w:rFonts w:ascii="宋体" w:hAnsi="宋体"/>
          <w:sz w:val="21"/>
          <w:szCs w:val="21"/>
        </w:rPr>
      </w:pPr>
      <w:r>
        <w:rPr>
          <w:rFonts w:ascii="宋体" w:hAnsi="宋体"/>
          <w:sz w:val="21"/>
          <w:szCs w:val="21"/>
        </w:rPr>
        <w:t xml:space="preserve">    </w:t>
      </w:r>
      <w:r>
        <w:rPr>
          <w:rFonts w:hint="eastAsia" w:ascii="宋体" w:hAnsi="宋体"/>
          <w:sz w:val="21"/>
          <w:szCs w:val="21"/>
        </w:rPr>
        <w:t>第一条 甲方委托乙方进行技术服务的内容如下：</w:t>
      </w:r>
    </w:p>
    <w:p>
      <w:pPr>
        <w:spacing w:line="520" w:lineRule="exact"/>
        <w:rPr>
          <w:rFonts w:ascii="宋体" w:hAnsi="宋体"/>
          <w:sz w:val="21"/>
          <w:szCs w:val="21"/>
        </w:rPr>
      </w:pPr>
      <w:r>
        <w:rPr>
          <w:rFonts w:ascii="宋体" w:hAnsi="宋体"/>
          <w:sz w:val="21"/>
          <w:szCs w:val="21"/>
        </w:rPr>
        <w:t xml:space="preserve">    1</w:t>
      </w:r>
      <w:r>
        <w:rPr>
          <w:rFonts w:hint="eastAsia" w:ascii="宋体" w:hAnsi="宋体"/>
          <w:sz w:val="21"/>
          <w:szCs w:val="21"/>
        </w:rPr>
        <w:t>．技术服务的目标：</w:t>
      </w:r>
      <w:r>
        <w:rPr>
          <w:rFonts w:hint="eastAsia" w:ascii="宋体" w:hAnsi="宋体"/>
          <w:sz w:val="21"/>
          <w:szCs w:val="21"/>
          <w:u w:val="single"/>
        </w:rPr>
        <w:t xml:space="preserve">                                                 </w:t>
      </w:r>
      <w:r>
        <w:rPr>
          <w:rFonts w:hint="eastAsia" w:ascii="宋体" w:hAnsi="宋体"/>
          <w:sz w:val="21"/>
          <w:szCs w:val="21"/>
        </w:rPr>
        <w:t>。</w:t>
      </w:r>
    </w:p>
    <w:p>
      <w:pPr>
        <w:spacing w:line="520" w:lineRule="exact"/>
        <w:rPr>
          <w:rFonts w:ascii="宋体" w:hAnsi="宋体"/>
          <w:sz w:val="21"/>
          <w:szCs w:val="21"/>
        </w:rPr>
      </w:pPr>
      <w:r>
        <w:rPr>
          <w:rFonts w:ascii="宋体" w:hAnsi="宋体"/>
          <w:sz w:val="21"/>
          <w:szCs w:val="21"/>
        </w:rPr>
        <w:t xml:space="preserve">    2</w:t>
      </w:r>
      <w:r>
        <w:rPr>
          <w:rFonts w:hint="eastAsia" w:ascii="宋体" w:hAnsi="宋体"/>
          <w:sz w:val="21"/>
          <w:szCs w:val="21"/>
        </w:rPr>
        <w:t>．技术服务的内容：</w:t>
      </w:r>
      <w:r>
        <w:rPr>
          <w:rFonts w:hint="eastAsia" w:ascii="宋体" w:hAnsi="宋体"/>
          <w:sz w:val="21"/>
          <w:szCs w:val="21"/>
          <w:u w:val="single"/>
        </w:rPr>
        <w:t xml:space="preserve">                                                 </w:t>
      </w:r>
      <w:r>
        <w:rPr>
          <w:rFonts w:hint="eastAsia" w:ascii="宋体" w:hAnsi="宋体"/>
          <w:sz w:val="21"/>
          <w:szCs w:val="21"/>
        </w:rPr>
        <w:t>。</w:t>
      </w:r>
    </w:p>
    <w:p>
      <w:pPr>
        <w:spacing w:line="520" w:lineRule="exact"/>
        <w:ind w:firstLine="420" w:firstLineChars="200"/>
        <w:rPr>
          <w:rFonts w:ascii="宋体" w:hAnsi="宋体"/>
          <w:sz w:val="21"/>
          <w:szCs w:val="21"/>
        </w:rPr>
      </w:pPr>
      <w:r>
        <w:rPr>
          <w:rFonts w:ascii="宋体" w:hAnsi="宋体"/>
          <w:sz w:val="21"/>
          <w:szCs w:val="21"/>
        </w:rPr>
        <w:t>3</w:t>
      </w:r>
      <w:r>
        <w:rPr>
          <w:rFonts w:hint="eastAsia" w:ascii="宋体" w:hAnsi="宋体"/>
          <w:sz w:val="21"/>
          <w:szCs w:val="21"/>
        </w:rPr>
        <w:t>．技术服务的方式：</w:t>
      </w:r>
      <w:r>
        <w:rPr>
          <w:rFonts w:hint="eastAsia" w:ascii="宋体" w:hAnsi="宋体"/>
          <w:sz w:val="21"/>
          <w:szCs w:val="21"/>
          <w:u w:val="single"/>
        </w:rPr>
        <w:t xml:space="preserve">                                                 </w:t>
      </w:r>
      <w:r>
        <w:rPr>
          <w:rFonts w:hint="eastAsia" w:ascii="宋体" w:hAnsi="宋体"/>
          <w:sz w:val="21"/>
          <w:szCs w:val="21"/>
        </w:rPr>
        <w:t>。</w:t>
      </w:r>
    </w:p>
    <w:p>
      <w:pPr>
        <w:spacing w:line="520" w:lineRule="exact"/>
        <w:ind w:firstLine="420" w:firstLineChars="200"/>
        <w:rPr>
          <w:rFonts w:ascii="宋体" w:hAnsi="宋体"/>
          <w:sz w:val="21"/>
          <w:szCs w:val="21"/>
        </w:rPr>
      </w:pPr>
      <w:r>
        <w:rPr>
          <w:rFonts w:hint="eastAsia" w:ascii="宋体" w:hAnsi="宋体"/>
          <w:sz w:val="21"/>
          <w:szCs w:val="21"/>
        </w:rPr>
        <w:t>4.</w:t>
      </w:r>
      <w:r>
        <w:rPr>
          <w:rFonts w:hint="eastAsia" w:ascii="宋体" w:hAnsi="宋体"/>
          <w:sz w:val="21"/>
          <w:szCs w:val="21"/>
          <w:u w:val="single"/>
        </w:rPr>
        <w:t xml:space="preserve"> 从合同执行满一年后的第二个自然年开始，双方有权根据市场情况就使用费用进行洽商，洽商应在当年第一个月/季内完成，如不进行洽商自动沿用前一年的收费标准。</w:t>
      </w:r>
    </w:p>
    <w:p>
      <w:pPr>
        <w:spacing w:line="520" w:lineRule="exact"/>
        <w:ind w:firstLine="420" w:firstLineChars="200"/>
        <w:rPr>
          <w:rFonts w:ascii="宋体" w:hAnsi="宋体"/>
          <w:sz w:val="21"/>
          <w:szCs w:val="21"/>
        </w:rPr>
      </w:pPr>
      <w:r>
        <w:rPr>
          <w:rFonts w:hint="eastAsia" w:ascii="宋体" w:hAnsi="宋体"/>
          <w:sz w:val="21"/>
          <w:szCs w:val="21"/>
        </w:rPr>
        <w:t>第二条 乙方应按下列要求完成技术服务工作：</w:t>
      </w:r>
    </w:p>
    <w:p>
      <w:pPr>
        <w:spacing w:line="520" w:lineRule="exact"/>
        <w:ind w:firstLine="420" w:firstLineChars="200"/>
        <w:rPr>
          <w:rFonts w:ascii="宋体" w:hAnsi="宋体"/>
          <w:sz w:val="21"/>
          <w:szCs w:val="21"/>
          <w:u w:val="single"/>
        </w:rPr>
      </w:pPr>
      <w:r>
        <w:rPr>
          <w:rFonts w:ascii="宋体" w:hAnsi="宋体"/>
          <w:sz w:val="21"/>
          <w:szCs w:val="21"/>
        </w:rPr>
        <w:t>1</w:t>
      </w:r>
      <w:r>
        <w:rPr>
          <w:rFonts w:hint="eastAsia" w:ascii="宋体" w:hAnsi="宋体"/>
          <w:sz w:val="21"/>
          <w:szCs w:val="21"/>
        </w:rPr>
        <w:t>．技术服务地点：</w:t>
      </w:r>
      <w:r>
        <w:rPr>
          <w:rFonts w:hint="eastAsia" w:ascii="宋体" w:hAnsi="宋体"/>
          <w:sz w:val="21"/>
          <w:szCs w:val="21"/>
          <w:u w:val="single"/>
        </w:rPr>
        <w:t xml:space="preserve">                                  </w:t>
      </w:r>
      <w:r>
        <w:rPr>
          <w:rFonts w:hint="eastAsia" w:ascii="宋体" w:hAnsi="宋体"/>
          <w:sz w:val="21"/>
          <w:szCs w:val="21"/>
        </w:rPr>
        <w:t>；</w:t>
      </w:r>
    </w:p>
    <w:p>
      <w:pPr>
        <w:spacing w:line="520" w:lineRule="exact"/>
        <w:ind w:firstLine="420" w:firstLineChars="200"/>
        <w:rPr>
          <w:rFonts w:ascii="宋体" w:hAnsi="宋体"/>
          <w:b/>
          <w:color w:val="FF0000"/>
          <w:sz w:val="21"/>
          <w:szCs w:val="21"/>
        </w:rPr>
      </w:pPr>
      <w:r>
        <w:rPr>
          <w:rFonts w:ascii="宋体" w:hAnsi="宋体"/>
          <w:sz w:val="21"/>
          <w:szCs w:val="21"/>
        </w:rPr>
        <w:t>2</w:t>
      </w:r>
      <w:r>
        <w:rPr>
          <w:rFonts w:hint="eastAsia" w:ascii="宋体" w:hAnsi="宋体"/>
          <w:sz w:val="21"/>
          <w:szCs w:val="21"/>
        </w:rPr>
        <w:t>．技术服务期限：</w:t>
      </w:r>
      <w:r>
        <w:rPr>
          <w:rFonts w:hint="eastAsia" w:ascii="宋体" w:hAnsi="宋体"/>
          <w:sz w:val="21"/>
          <w:szCs w:val="21"/>
          <w:u w:val="single"/>
        </w:rPr>
        <w:t xml:space="preserve">                                  </w:t>
      </w:r>
      <w:r>
        <w:rPr>
          <w:rFonts w:hint="eastAsia" w:ascii="宋体" w:hAnsi="宋体"/>
          <w:sz w:val="21"/>
          <w:szCs w:val="21"/>
        </w:rPr>
        <w:t>；</w:t>
      </w:r>
    </w:p>
    <w:p>
      <w:pPr>
        <w:spacing w:line="520" w:lineRule="exact"/>
        <w:ind w:firstLine="420" w:firstLineChars="200"/>
        <w:rPr>
          <w:rFonts w:ascii="宋体" w:hAnsi="宋体"/>
          <w:sz w:val="21"/>
          <w:szCs w:val="21"/>
        </w:rPr>
      </w:pPr>
      <w:r>
        <w:rPr>
          <w:rFonts w:ascii="宋体" w:hAnsi="宋体"/>
          <w:sz w:val="21"/>
          <w:szCs w:val="21"/>
        </w:rPr>
        <w:t>3</w:t>
      </w:r>
      <w:r>
        <w:rPr>
          <w:rFonts w:hint="eastAsia" w:ascii="宋体" w:hAnsi="宋体"/>
          <w:sz w:val="21"/>
          <w:szCs w:val="21"/>
        </w:rPr>
        <w:t>．技术服务进度：</w:t>
      </w:r>
      <w:r>
        <w:rPr>
          <w:rFonts w:hint="eastAsia" w:ascii="宋体" w:hAnsi="宋体"/>
          <w:sz w:val="21"/>
          <w:szCs w:val="21"/>
          <w:u w:val="single"/>
        </w:rPr>
        <w:t xml:space="preserve">                              </w:t>
      </w:r>
      <w:r>
        <w:rPr>
          <w:rFonts w:hint="eastAsia" w:ascii="宋体" w:hAnsi="宋体"/>
          <w:sz w:val="21"/>
          <w:szCs w:val="21"/>
        </w:rPr>
        <w:t>；</w:t>
      </w:r>
    </w:p>
    <w:p>
      <w:pPr>
        <w:spacing w:line="520" w:lineRule="exact"/>
        <w:ind w:left="1" w:firstLine="420" w:firstLineChars="200"/>
        <w:rPr>
          <w:rFonts w:ascii="宋体" w:hAnsi="宋体"/>
          <w:sz w:val="21"/>
          <w:szCs w:val="21"/>
        </w:rPr>
      </w:pPr>
      <w:r>
        <w:rPr>
          <w:rFonts w:ascii="宋体" w:hAnsi="宋体"/>
          <w:sz w:val="21"/>
          <w:szCs w:val="21"/>
        </w:rPr>
        <w:t>4</w:t>
      </w:r>
      <w:r>
        <w:rPr>
          <w:rFonts w:hint="eastAsia" w:ascii="宋体" w:hAnsi="宋体"/>
          <w:sz w:val="21"/>
          <w:szCs w:val="21"/>
        </w:rPr>
        <w:t>．技术服务质量要求：</w:t>
      </w:r>
      <w:r>
        <w:rPr>
          <w:rFonts w:hint="eastAsia" w:ascii="宋体" w:hAnsi="宋体"/>
          <w:sz w:val="21"/>
          <w:szCs w:val="21"/>
          <w:u w:val="single"/>
        </w:rPr>
        <w:t xml:space="preserve">                                 </w:t>
      </w:r>
      <w:r>
        <w:rPr>
          <w:rFonts w:hint="eastAsia" w:ascii="宋体" w:hAnsi="宋体"/>
          <w:sz w:val="21"/>
          <w:szCs w:val="21"/>
        </w:rPr>
        <w:t>；</w:t>
      </w:r>
    </w:p>
    <w:p>
      <w:pPr>
        <w:spacing w:line="520" w:lineRule="exact"/>
        <w:ind w:left="1" w:firstLine="420" w:firstLineChars="200"/>
        <w:rPr>
          <w:rFonts w:ascii="宋体" w:hAnsi="宋体"/>
          <w:sz w:val="21"/>
          <w:szCs w:val="21"/>
        </w:rPr>
      </w:pPr>
      <w:r>
        <w:rPr>
          <w:rFonts w:ascii="宋体" w:hAnsi="宋体"/>
          <w:sz w:val="21"/>
          <w:szCs w:val="21"/>
        </w:rPr>
        <w:t>5</w:t>
      </w:r>
      <w:r>
        <w:rPr>
          <w:rFonts w:hint="eastAsia" w:ascii="宋体" w:hAnsi="宋体"/>
          <w:sz w:val="21"/>
          <w:szCs w:val="21"/>
        </w:rPr>
        <w:t>．技术服务质量期限要求：</w:t>
      </w:r>
      <w:r>
        <w:rPr>
          <w:rFonts w:hint="eastAsia" w:ascii="宋体" w:hAnsi="宋体"/>
          <w:sz w:val="21"/>
          <w:szCs w:val="21"/>
          <w:u w:val="single"/>
        </w:rPr>
        <w:t xml:space="preserve">   合同有效期内   </w:t>
      </w:r>
      <w:r>
        <w:rPr>
          <w:rFonts w:hint="eastAsia" w:ascii="宋体" w:hAnsi="宋体"/>
          <w:sz w:val="21"/>
          <w:szCs w:val="21"/>
        </w:rPr>
        <w:t>。</w:t>
      </w:r>
    </w:p>
    <w:p>
      <w:pPr>
        <w:spacing w:line="520" w:lineRule="exact"/>
        <w:ind w:firstLine="420" w:firstLineChars="200"/>
        <w:rPr>
          <w:rFonts w:ascii="宋体" w:hAnsi="宋体"/>
          <w:sz w:val="21"/>
          <w:szCs w:val="21"/>
        </w:rPr>
      </w:pPr>
      <w:r>
        <w:rPr>
          <w:rFonts w:hint="eastAsia" w:ascii="宋体" w:hAnsi="宋体"/>
          <w:sz w:val="21"/>
          <w:szCs w:val="21"/>
        </w:rPr>
        <w:t>第三条 为保证乙方有效进行技术服务工作，甲方应当向乙方提供下列工作条件和协作事项：</w:t>
      </w:r>
    </w:p>
    <w:p>
      <w:pPr>
        <w:spacing w:line="520" w:lineRule="exact"/>
        <w:ind w:firstLine="420" w:firstLineChars="200"/>
        <w:rPr>
          <w:rFonts w:ascii="宋体" w:hAnsi="宋体"/>
          <w:sz w:val="21"/>
          <w:szCs w:val="21"/>
        </w:rPr>
      </w:pPr>
      <w:r>
        <w:rPr>
          <w:rFonts w:ascii="宋体" w:hAnsi="宋体"/>
          <w:sz w:val="21"/>
          <w:szCs w:val="21"/>
        </w:rPr>
        <w:t>1</w:t>
      </w:r>
      <w:r>
        <w:rPr>
          <w:rFonts w:hint="eastAsia" w:ascii="宋体" w:hAnsi="宋体"/>
          <w:sz w:val="21"/>
          <w:szCs w:val="21"/>
        </w:rPr>
        <w:t>．提供技术资料：</w:t>
      </w:r>
    </w:p>
    <w:p>
      <w:pPr>
        <w:spacing w:line="520" w:lineRule="exact"/>
        <w:ind w:firstLine="420" w:firstLineChars="200"/>
        <w:rPr>
          <w:rFonts w:ascii="宋体" w:hAnsi="宋体"/>
          <w:sz w:val="21"/>
          <w:szCs w:val="21"/>
          <w:u w:val="single"/>
        </w:rPr>
      </w:pPr>
      <w:r>
        <w:rPr>
          <w:rFonts w:hint="eastAsia" w:ascii="宋体" w:hAnsi="宋体"/>
          <w:sz w:val="21"/>
          <w:szCs w:val="21"/>
        </w:rPr>
        <w:t>（</w:t>
      </w:r>
      <w:r>
        <w:rPr>
          <w:rFonts w:ascii="宋体" w:hAnsi="宋体"/>
          <w:sz w:val="21"/>
          <w:szCs w:val="21"/>
        </w:rPr>
        <w:t>1</w:t>
      </w:r>
      <w:r>
        <w:rPr>
          <w:rFonts w:hint="eastAsia" w:ascii="宋体" w:hAnsi="宋体"/>
          <w:sz w:val="21"/>
          <w:szCs w:val="21"/>
        </w:rPr>
        <w:t>）甲方的技术联系人：</w:t>
      </w:r>
      <w:r>
        <w:rPr>
          <w:rFonts w:hint="eastAsia" w:ascii="宋体" w:hAnsi="宋体"/>
          <w:sz w:val="21"/>
          <w:szCs w:val="21"/>
          <w:u w:val="single"/>
        </w:rPr>
        <w:t xml:space="preserve">                        </w:t>
      </w:r>
      <w:r>
        <w:rPr>
          <w:rFonts w:hint="eastAsia" w:ascii="宋体" w:hAnsi="宋体"/>
          <w:sz w:val="21"/>
          <w:szCs w:val="21"/>
        </w:rPr>
        <w:t>；</w:t>
      </w:r>
    </w:p>
    <w:p>
      <w:pPr>
        <w:spacing w:line="520" w:lineRule="exact"/>
        <w:ind w:firstLine="420" w:firstLineChars="200"/>
        <w:rPr>
          <w:rFonts w:ascii="宋体" w:hAnsi="宋体"/>
          <w:sz w:val="21"/>
          <w:szCs w:val="21"/>
        </w:rPr>
      </w:pPr>
      <w:r>
        <w:rPr>
          <w:rFonts w:hint="eastAsia" w:ascii="宋体" w:hAnsi="宋体"/>
          <w:sz w:val="21"/>
          <w:szCs w:val="21"/>
        </w:rPr>
        <w:t>（</w:t>
      </w:r>
      <w:r>
        <w:rPr>
          <w:rFonts w:ascii="宋体" w:hAnsi="宋体"/>
          <w:sz w:val="21"/>
          <w:szCs w:val="21"/>
        </w:rPr>
        <w:t>2</w:t>
      </w:r>
      <w:r>
        <w:rPr>
          <w:rFonts w:hint="eastAsia" w:ascii="宋体" w:hAnsi="宋体"/>
          <w:sz w:val="21"/>
          <w:szCs w:val="21"/>
        </w:rPr>
        <w:t>）</w:t>
      </w:r>
      <w:r>
        <w:rPr>
          <w:rFonts w:hint="eastAsia" w:ascii="宋体" w:hAnsi="宋体"/>
          <w:sz w:val="21"/>
          <w:szCs w:val="21"/>
          <w:u w:val="single"/>
        </w:rPr>
        <w:t xml:space="preserve">                                          </w:t>
      </w:r>
      <w:r>
        <w:rPr>
          <w:rFonts w:hint="eastAsia" w:ascii="宋体" w:hAnsi="宋体"/>
          <w:sz w:val="21"/>
          <w:szCs w:val="21"/>
        </w:rPr>
        <w:t>。</w:t>
      </w:r>
    </w:p>
    <w:p>
      <w:pPr>
        <w:spacing w:line="520" w:lineRule="exact"/>
        <w:ind w:firstLine="420" w:firstLineChars="200"/>
        <w:rPr>
          <w:rFonts w:ascii="宋体" w:hAnsi="宋体"/>
          <w:sz w:val="21"/>
          <w:szCs w:val="21"/>
        </w:rPr>
      </w:pPr>
      <w:r>
        <w:rPr>
          <w:rFonts w:ascii="宋体" w:hAnsi="宋体"/>
          <w:sz w:val="21"/>
          <w:szCs w:val="21"/>
        </w:rPr>
        <w:t>2</w:t>
      </w:r>
      <w:r>
        <w:rPr>
          <w:rFonts w:hint="eastAsia" w:ascii="宋体" w:hAnsi="宋体"/>
          <w:sz w:val="21"/>
          <w:szCs w:val="21"/>
        </w:rPr>
        <w:t>．提供工作条件：</w:t>
      </w:r>
    </w:p>
    <w:p>
      <w:pPr>
        <w:spacing w:line="520" w:lineRule="exact"/>
        <w:ind w:firstLine="420" w:firstLineChars="200"/>
        <w:rPr>
          <w:rFonts w:ascii="宋体" w:hAnsi="宋体"/>
          <w:sz w:val="21"/>
          <w:szCs w:val="21"/>
          <w:u w:val="single"/>
        </w:rPr>
      </w:pPr>
      <w:r>
        <w:rPr>
          <w:rFonts w:hint="eastAsia" w:ascii="宋体" w:hAnsi="宋体"/>
          <w:sz w:val="21"/>
          <w:szCs w:val="21"/>
        </w:rPr>
        <w:t>（1）</w:t>
      </w:r>
      <w:r>
        <w:rPr>
          <w:rFonts w:hint="eastAsia" w:ascii="宋体" w:hAnsi="宋体"/>
          <w:sz w:val="21"/>
          <w:szCs w:val="21"/>
          <w:u w:val="single"/>
        </w:rPr>
        <w:t xml:space="preserve">                                          </w:t>
      </w:r>
      <w:r>
        <w:rPr>
          <w:rFonts w:hint="eastAsia" w:ascii="宋体" w:hAnsi="宋体"/>
          <w:sz w:val="21"/>
          <w:szCs w:val="21"/>
        </w:rPr>
        <w:t>；</w:t>
      </w:r>
    </w:p>
    <w:p>
      <w:pPr>
        <w:spacing w:line="520" w:lineRule="exact"/>
        <w:ind w:firstLine="420" w:firstLineChars="200"/>
        <w:rPr>
          <w:rFonts w:ascii="宋体" w:hAnsi="宋体"/>
          <w:sz w:val="21"/>
          <w:szCs w:val="21"/>
          <w:u w:val="single"/>
        </w:rPr>
      </w:pPr>
      <w:r>
        <w:rPr>
          <w:rFonts w:hint="eastAsia" w:ascii="宋体" w:hAnsi="宋体"/>
          <w:sz w:val="21"/>
          <w:szCs w:val="21"/>
        </w:rPr>
        <w:t>（2）</w:t>
      </w:r>
      <w:r>
        <w:rPr>
          <w:rFonts w:hint="eastAsia" w:ascii="宋体" w:hAnsi="宋体"/>
          <w:sz w:val="21"/>
          <w:szCs w:val="21"/>
          <w:u w:val="single"/>
        </w:rPr>
        <w:t xml:space="preserve">                                          </w:t>
      </w:r>
      <w:r>
        <w:rPr>
          <w:rFonts w:hint="eastAsia" w:ascii="宋体" w:hAnsi="宋体"/>
          <w:sz w:val="21"/>
          <w:szCs w:val="21"/>
        </w:rPr>
        <w:t>。</w:t>
      </w:r>
    </w:p>
    <w:p>
      <w:pPr>
        <w:spacing w:line="520" w:lineRule="exact"/>
        <w:ind w:firstLine="420" w:firstLineChars="200"/>
        <w:rPr>
          <w:rFonts w:ascii="宋体" w:hAnsi="宋体"/>
          <w:sz w:val="21"/>
          <w:szCs w:val="21"/>
        </w:rPr>
      </w:pPr>
      <w:r>
        <w:rPr>
          <w:rFonts w:hint="eastAsia" w:ascii="宋体" w:hAnsi="宋体"/>
          <w:sz w:val="21"/>
          <w:szCs w:val="21"/>
        </w:rPr>
        <w:t>3．</w:t>
      </w:r>
      <w:r>
        <w:rPr>
          <w:rFonts w:hint="eastAsia" w:ascii="宋体" w:hAnsi="宋体"/>
          <w:sz w:val="21"/>
          <w:szCs w:val="21"/>
          <w:u w:val="single"/>
        </w:rPr>
        <w:t xml:space="preserve">甲方遵守国家有关法律、严格执行安全保密制度，不得利用网络从事危害国家安全、泄露国家秘密等违法犯罪活动，不得制作、查阅、复制和传输妨碍社会治安的信息和淫秽色情等信息 </w:t>
      </w:r>
      <w:r>
        <w:rPr>
          <w:rFonts w:hint="eastAsia" w:ascii="宋体" w:hAnsi="宋体"/>
          <w:sz w:val="21"/>
          <w:szCs w:val="21"/>
        </w:rPr>
        <w:t>。</w:t>
      </w:r>
    </w:p>
    <w:p>
      <w:pPr>
        <w:spacing w:line="520" w:lineRule="exact"/>
        <w:ind w:firstLine="420" w:firstLineChars="200"/>
        <w:rPr>
          <w:rFonts w:ascii="宋体" w:hAnsi="宋体"/>
          <w:sz w:val="21"/>
          <w:szCs w:val="21"/>
        </w:rPr>
      </w:pPr>
      <w:r>
        <w:rPr>
          <w:rFonts w:hint="eastAsia" w:ascii="宋体" w:hAnsi="宋体"/>
          <w:sz w:val="21"/>
          <w:szCs w:val="21"/>
        </w:rPr>
        <w:t>6．甲方提供上述工作条件和协作事项的时间及方式：</w:t>
      </w:r>
      <w:r>
        <w:rPr>
          <w:rFonts w:hint="eastAsia" w:ascii="宋体" w:hAnsi="宋体"/>
          <w:sz w:val="21"/>
          <w:szCs w:val="21"/>
          <w:u w:val="single"/>
        </w:rPr>
        <w:t xml:space="preserve"> 整个技术服务合同期内 </w:t>
      </w:r>
      <w:r>
        <w:rPr>
          <w:rFonts w:hint="eastAsia" w:ascii="宋体" w:hAnsi="宋体"/>
          <w:sz w:val="21"/>
          <w:szCs w:val="21"/>
        </w:rPr>
        <w:t>。</w:t>
      </w:r>
    </w:p>
    <w:p>
      <w:pPr>
        <w:spacing w:line="520" w:lineRule="exact"/>
        <w:rPr>
          <w:rFonts w:ascii="宋体" w:hAnsi="宋体"/>
          <w:sz w:val="21"/>
          <w:szCs w:val="21"/>
        </w:rPr>
      </w:pPr>
      <w:r>
        <w:rPr>
          <w:rFonts w:ascii="宋体" w:hAnsi="宋体"/>
          <w:sz w:val="21"/>
          <w:szCs w:val="21"/>
        </w:rPr>
        <w:t xml:space="preserve">    </w:t>
      </w:r>
      <w:r>
        <w:rPr>
          <w:rFonts w:hint="eastAsia" w:ascii="宋体" w:hAnsi="宋体"/>
          <w:sz w:val="21"/>
          <w:szCs w:val="21"/>
        </w:rPr>
        <w:t>第四条 甲方向乙方支付技术服务报酬及支付方式为：</w:t>
      </w:r>
    </w:p>
    <w:p>
      <w:pPr>
        <w:spacing w:line="520" w:lineRule="exact"/>
        <w:rPr>
          <w:rFonts w:ascii="宋体" w:hAnsi="宋体"/>
          <w:sz w:val="21"/>
          <w:szCs w:val="21"/>
        </w:rPr>
      </w:pPr>
      <w:r>
        <w:rPr>
          <w:rFonts w:ascii="宋体" w:hAnsi="宋体"/>
          <w:sz w:val="21"/>
          <w:szCs w:val="21"/>
        </w:rPr>
        <w:t xml:space="preserve">    1</w:t>
      </w:r>
      <w:r>
        <w:rPr>
          <w:rFonts w:hint="eastAsia" w:ascii="宋体" w:hAnsi="宋体"/>
          <w:sz w:val="21"/>
          <w:szCs w:val="21"/>
        </w:rPr>
        <w:t>．技术服务费总额为：</w:t>
      </w:r>
      <w:r>
        <w:rPr>
          <w:rFonts w:hint="eastAsia" w:ascii="宋体" w:hAnsi="宋体"/>
          <w:sz w:val="21"/>
          <w:szCs w:val="21"/>
          <w:u w:val="single"/>
        </w:rPr>
        <w:t xml:space="preserve">                          </w:t>
      </w:r>
      <w:r>
        <w:rPr>
          <w:rFonts w:hint="eastAsia" w:ascii="宋体" w:hAnsi="宋体"/>
          <w:sz w:val="21"/>
          <w:szCs w:val="21"/>
        </w:rPr>
        <w:t>；</w:t>
      </w:r>
    </w:p>
    <w:p>
      <w:pPr>
        <w:spacing w:line="520" w:lineRule="exact"/>
        <w:ind w:firstLine="420"/>
        <w:rPr>
          <w:rFonts w:ascii="宋体" w:hAnsi="宋体"/>
          <w:sz w:val="21"/>
          <w:szCs w:val="21"/>
        </w:rPr>
      </w:pPr>
      <w:r>
        <w:rPr>
          <w:rFonts w:ascii="宋体" w:hAnsi="宋体"/>
          <w:sz w:val="21"/>
          <w:szCs w:val="21"/>
        </w:rPr>
        <w:t>2</w:t>
      </w:r>
      <w:r>
        <w:rPr>
          <w:rFonts w:hint="eastAsia" w:ascii="宋体" w:hAnsi="宋体"/>
          <w:sz w:val="21"/>
          <w:szCs w:val="21"/>
        </w:rPr>
        <w:t>．技术服务费由甲方</w:t>
      </w:r>
      <w:r>
        <w:rPr>
          <w:rFonts w:hint="eastAsia" w:ascii="宋体" w:hAnsi="宋体"/>
          <w:sz w:val="21"/>
          <w:szCs w:val="21"/>
          <w:u w:val="single"/>
        </w:rPr>
        <w:t xml:space="preserve">                 </w:t>
      </w:r>
      <w:r>
        <w:rPr>
          <w:rFonts w:hint="eastAsia" w:ascii="宋体" w:hAnsi="宋体"/>
          <w:sz w:val="21"/>
          <w:szCs w:val="21"/>
        </w:rPr>
        <w:t>支付乙方。</w:t>
      </w:r>
    </w:p>
    <w:p>
      <w:pPr>
        <w:spacing w:line="520" w:lineRule="exact"/>
        <w:ind w:firstLine="420" w:firstLineChars="200"/>
        <w:rPr>
          <w:rFonts w:ascii="宋体" w:hAnsi="宋体"/>
          <w:sz w:val="21"/>
          <w:szCs w:val="21"/>
        </w:rPr>
      </w:pPr>
      <w:r>
        <w:rPr>
          <w:rFonts w:hint="eastAsia" w:ascii="宋体" w:hAnsi="宋体"/>
          <w:sz w:val="21"/>
          <w:szCs w:val="21"/>
        </w:rPr>
        <w:t>3．</w:t>
      </w:r>
      <w:r>
        <w:rPr>
          <w:rFonts w:ascii="宋体" w:hAnsi="宋体"/>
          <w:sz w:val="21"/>
          <w:szCs w:val="21"/>
        </w:rPr>
        <w:t>履约</w:t>
      </w:r>
      <w:r>
        <w:rPr>
          <w:rFonts w:hint="eastAsia" w:ascii="宋体" w:hAnsi="宋体"/>
          <w:sz w:val="21"/>
          <w:szCs w:val="21"/>
        </w:rPr>
        <w:t>保证金</w:t>
      </w:r>
      <w:r>
        <w:rPr>
          <w:rFonts w:ascii="宋体" w:hAnsi="宋体"/>
          <w:sz w:val="21"/>
          <w:szCs w:val="21"/>
        </w:rPr>
        <w:t>：乙方在收到《中标通知书》后20（二十）日内，应向甲方提交合同总金额</w:t>
      </w:r>
      <w:r>
        <w:rPr>
          <w:rFonts w:hint="eastAsia" w:ascii="宋体" w:hAnsi="宋体"/>
          <w:sz w:val="21"/>
          <w:szCs w:val="21"/>
        </w:rPr>
        <w:t>10</w:t>
      </w:r>
      <w:r>
        <w:rPr>
          <w:rFonts w:ascii="宋体" w:hAnsi="宋体"/>
          <w:sz w:val="21"/>
          <w:szCs w:val="21"/>
        </w:rPr>
        <w:t>%的</w:t>
      </w:r>
      <w:r>
        <w:rPr>
          <w:rFonts w:hint="eastAsia" w:ascii="宋体" w:hAnsi="宋体"/>
          <w:sz w:val="21"/>
          <w:szCs w:val="21"/>
        </w:rPr>
        <w:t>履约保证金</w:t>
      </w:r>
      <w:r>
        <w:rPr>
          <w:rFonts w:ascii="宋体" w:hAnsi="宋体"/>
          <w:sz w:val="21"/>
          <w:szCs w:val="21"/>
        </w:rPr>
        <w:t>。</w:t>
      </w:r>
      <w:r>
        <w:rPr>
          <w:rFonts w:hint="eastAsia" w:ascii="宋体" w:hAnsi="宋体"/>
          <w:sz w:val="21"/>
          <w:szCs w:val="21"/>
        </w:rPr>
        <w:t>合同期满后，由采购人无息退还给乙方。</w:t>
      </w:r>
    </w:p>
    <w:p>
      <w:pPr>
        <w:spacing w:line="520" w:lineRule="exact"/>
        <w:ind w:firstLine="420"/>
        <w:rPr>
          <w:rFonts w:ascii="宋体" w:hAnsi="宋体"/>
          <w:sz w:val="21"/>
          <w:szCs w:val="21"/>
        </w:rPr>
      </w:pPr>
      <w:r>
        <w:rPr>
          <w:rFonts w:hint="eastAsia" w:ascii="宋体" w:hAnsi="宋体"/>
          <w:sz w:val="21"/>
          <w:szCs w:val="21"/>
        </w:rPr>
        <w:t>4 .支付方式和时间如下：甲乙双方签订中标合同，后期服务费按季度支付，每季度初预付本季度的服务费。</w:t>
      </w:r>
    </w:p>
    <w:p>
      <w:pPr>
        <w:spacing w:line="520" w:lineRule="exact"/>
        <w:ind w:firstLine="420"/>
        <w:rPr>
          <w:rFonts w:ascii="宋体" w:hAnsi="宋体"/>
          <w:sz w:val="21"/>
          <w:szCs w:val="21"/>
        </w:rPr>
      </w:pPr>
      <w:r>
        <w:rPr>
          <w:rFonts w:hint="eastAsia" w:ascii="宋体" w:hAnsi="宋体"/>
          <w:sz w:val="21"/>
          <w:szCs w:val="21"/>
        </w:rPr>
        <w:t>5、违约责任</w:t>
      </w:r>
      <w:r>
        <w:rPr>
          <w:rFonts w:ascii="宋体" w:hAnsi="宋体"/>
          <w:sz w:val="21"/>
          <w:szCs w:val="21"/>
        </w:rPr>
        <w:t xml:space="preserve"> </w:t>
      </w:r>
    </w:p>
    <w:p>
      <w:pPr>
        <w:spacing w:line="520" w:lineRule="exact"/>
        <w:ind w:firstLine="420" w:firstLineChars="200"/>
        <w:rPr>
          <w:rFonts w:ascii="宋体" w:hAnsi="宋体"/>
          <w:sz w:val="21"/>
          <w:szCs w:val="21"/>
        </w:rPr>
      </w:pPr>
      <w:r>
        <w:rPr>
          <w:rFonts w:hint="eastAsia" w:ascii="宋体" w:hAnsi="宋体"/>
          <w:sz w:val="21"/>
          <w:szCs w:val="21"/>
        </w:rPr>
        <w:t>如因乙方原因，不能再约定的开通时限内开通电路，则每逾期</w:t>
      </w:r>
      <w:r>
        <w:rPr>
          <w:rFonts w:ascii="宋体" w:hAnsi="宋体"/>
          <w:sz w:val="21"/>
          <w:szCs w:val="21"/>
        </w:rPr>
        <w:t>1</w:t>
      </w:r>
      <w:r>
        <w:rPr>
          <w:rFonts w:hint="eastAsia" w:ascii="宋体" w:hAnsi="宋体"/>
          <w:sz w:val="21"/>
          <w:szCs w:val="21"/>
        </w:rPr>
        <w:t>个工作日减免该条电路单月月租费的</w:t>
      </w:r>
      <w:r>
        <w:rPr>
          <w:rFonts w:ascii="宋体" w:hAnsi="宋体"/>
          <w:sz w:val="21"/>
          <w:szCs w:val="21"/>
        </w:rPr>
        <w:t>0.1%</w:t>
      </w:r>
      <w:r>
        <w:rPr>
          <w:rFonts w:hint="eastAsia" w:ascii="宋体" w:hAnsi="宋体"/>
          <w:sz w:val="21"/>
          <w:szCs w:val="21"/>
        </w:rPr>
        <w:t>，如逾期</w:t>
      </w:r>
      <w:r>
        <w:rPr>
          <w:rFonts w:ascii="宋体" w:hAnsi="宋体"/>
          <w:sz w:val="21"/>
          <w:szCs w:val="21"/>
        </w:rPr>
        <w:t>60</w:t>
      </w:r>
      <w:r>
        <w:rPr>
          <w:rFonts w:hint="eastAsia" w:ascii="宋体" w:hAnsi="宋体"/>
          <w:sz w:val="21"/>
          <w:szCs w:val="21"/>
        </w:rPr>
        <w:t>日仍不能开通，则甲方有权终止合同，同时向乙方收取月租金</w:t>
      </w:r>
      <w:r>
        <w:rPr>
          <w:rFonts w:ascii="宋体" w:hAnsi="宋体"/>
          <w:sz w:val="21"/>
          <w:szCs w:val="21"/>
        </w:rPr>
        <w:t>3</w:t>
      </w:r>
      <w:r>
        <w:rPr>
          <w:rFonts w:hint="eastAsia" w:ascii="宋体" w:hAnsi="宋体"/>
          <w:sz w:val="21"/>
          <w:szCs w:val="21"/>
        </w:rPr>
        <w:t>倍的违约金。</w:t>
      </w:r>
      <w:r>
        <w:rPr>
          <w:rFonts w:ascii="宋体" w:hAnsi="宋体"/>
          <w:sz w:val="21"/>
          <w:szCs w:val="21"/>
        </w:rPr>
        <w:t xml:space="preserve"> </w:t>
      </w:r>
    </w:p>
    <w:p>
      <w:pPr>
        <w:spacing w:line="520" w:lineRule="exact"/>
        <w:ind w:firstLine="420" w:firstLineChars="200"/>
        <w:rPr>
          <w:rFonts w:ascii="宋体" w:hAnsi="宋体"/>
          <w:sz w:val="21"/>
          <w:szCs w:val="21"/>
        </w:rPr>
      </w:pPr>
      <w:r>
        <w:rPr>
          <w:rFonts w:hint="eastAsia" w:ascii="宋体" w:hAnsi="宋体"/>
          <w:sz w:val="21"/>
          <w:szCs w:val="21"/>
        </w:rPr>
        <w:t>6、租赁期限</w:t>
      </w:r>
      <w:r>
        <w:rPr>
          <w:rFonts w:ascii="宋体" w:hAnsi="宋体"/>
          <w:sz w:val="21"/>
          <w:szCs w:val="21"/>
        </w:rPr>
        <w:t xml:space="preserve"> </w:t>
      </w:r>
    </w:p>
    <w:p>
      <w:pPr>
        <w:spacing w:line="520" w:lineRule="exact"/>
        <w:ind w:firstLine="420" w:firstLineChars="200"/>
        <w:rPr>
          <w:rFonts w:ascii="宋体" w:hAnsi="宋体"/>
          <w:sz w:val="21"/>
          <w:szCs w:val="21"/>
        </w:rPr>
      </w:pPr>
      <w:r>
        <w:rPr>
          <w:rFonts w:hint="eastAsia" w:ascii="宋体" w:hAnsi="宋体"/>
          <w:sz w:val="21"/>
          <w:szCs w:val="21"/>
        </w:rPr>
        <w:t>（1）本合同租赁期限为</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ascii="宋体" w:hAnsi="宋体"/>
          <w:sz w:val="21"/>
          <w:szCs w:val="21"/>
        </w:rPr>
        <w:t xml:space="preserve"> </w:t>
      </w:r>
    </w:p>
    <w:p>
      <w:pPr>
        <w:spacing w:line="520" w:lineRule="exact"/>
        <w:ind w:firstLine="420" w:firstLineChars="200"/>
        <w:rPr>
          <w:rFonts w:ascii="宋体" w:hAnsi="宋体"/>
          <w:sz w:val="21"/>
          <w:szCs w:val="21"/>
        </w:rPr>
      </w:pPr>
      <w:r>
        <w:rPr>
          <w:rFonts w:hint="eastAsia" w:ascii="宋体" w:hAnsi="宋体"/>
          <w:sz w:val="21"/>
          <w:szCs w:val="21"/>
        </w:rPr>
        <w:t>（2）除非任何一方在租赁期届满前</w:t>
      </w:r>
      <w:r>
        <w:rPr>
          <w:rFonts w:ascii="宋体" w:hAnsi="宋体"/>
          <w:sz w:val="21"/>
          <w:szCs w:val="21"/>
        </w:rPr>
        <w:t>60</w:t>
      </w:r>
      <w:r>
        <w:rPr>
          <w:rFonts w:hint="eastAsia" w:ascii="宋体" w:hAnsi="宋体"/>
          <w:sz w:val="21"/>
          <w:szCs w:val="21"/>
        </w:rPr>
        <w:t>个工作日书面通知另一方不再续租，租期将续展，续展的租期为两年，续展次数不受限制。除非双方另有约定，否则本合同内容对于续展期仍有约束力。</w:t>
      </w:r>
      <w:r>
        <w:rPr>
          <w:rFonts w:ascii="宋体" w:hAnsi="宋体"/>
          <w:sz w:val="21"/>
          <w:szCs w:val="21"/>
        </w:rPr>
        <w:t xml:space="preserve"> </w:t>
      </w:r>
    </w:p>
    <w:p>
      <w:pPr>
        <w:spacing w:line="520" w:lineRule="exact"/>
        <w:ind w:firstLine="570"/>
        <w:rPr>
          <w:rFonts w:ascii="宋体" w:hAnsi="宋体"/>
          <w:sz w:val="21"/>
          <w:szCs w:val="21"/>
        </w:rPr>
      </w:pPr>
      <w:r>
        <w:rPr>
          <w:rFonts w:hint="eastAsia" w:ascii="宋体" w:hAnsi="宋体"/>
          <w:sz w:val="21"/>
          <w:szCs w:val="21"/>
        </w:rPr>
        <w:t>第五条 双方确定因履行本合同应遵守的保密义务如下：</w:t>
      </w:r>
    </w:p>
    <w:p>
      <w:pPr>
        <w:spacing w:line="520" w:lineRule="exact"/>
        <w:ind w:firstLine="570"/>
        <w:rPr>
          <w:rFonts w:ascii="宋体" w:hAnsi="宋体"/>
          <w:sz w:val="21"/>
          <w:szCs w:val="21"/>
        </w:rPr>
      </w:pPr>
      <w:r>
        <w:rPr>
          <w:rFonts w:hint="eastAsia" w:ascii="宋体" w:hAnsi="宋体"/>
          <w:sz w:val="21"/>
          <w:szCs w:val="21"/>
        </w:rPr>
        <w:t>甲方：</w:t>
      </w:r>
    </w:p>
    <w:p>
      <w:pPr>
        <w:spacing w:line="520" w:lineRule="exact"/>
        <w:ind w:left="1024" w:leftChars="270" w:hanging="376"/>
        <w:rPr>
          <w:rFonts w:ascii="宋体" w:hAnsi="宋体"/>
          <w:sz w:val="21"/>
          <w:szCs w:val="21"/>
        </w:rPr>
      </w:pPr>
      <w:r>
        <w:rPr>
          <w:rFonts w:ascii="宋体" w:hAnsi="宋体"/>
          <w:sz w:val="21"/>
          <w:szCs w:val="21"/>
        </w:rPr>
        <w:t>1</w:t>
      </w:r>
      <w:r>
        <w:rPr>
          <w:rFonts w:hint="eastAsia" w:ascii="宋体" w:hAnsi="宋体"/>
          <w:sz w:val="21"/>
          <w:szCs w:val="21"/>
        </w:rPr>
        <w:t>．保密内容（包括技术信息和经营信息）：</w:t>
      </w:r>
      <w:r>
        <w:rPr>
          <w:rFonts w:hint="eastAsia" w:ascii="宋体" w:hAnsi="宋体"/>
          <w:sz w:val="21"/>
          <w:szCs w:val="21"/>
          <w:u w:val="single"/>
        </w:rPr>
        <w:t xml:space="preserve"> 合同期间未经乙方同意不得向第三者透露或转让合同所规定的任何权利和义务。不论在合同有效期还是在本合同结束之后，均不应向第三者泄露任何本合同内容及其在执行工程中所获得的另一方的商业机密</w:t>
      </w:r>
      <w:r>
        <w:rPr>
          <w:rFonts w:hint="eastAsia" w:ascii="宋体" w:hAnsi="宋体"/>
          <w:sz w:val="21"/>
          <w:szCs w:val="21"/>
        </w:rPr>
        <w:t>。</w:t>
      </w:r>
    </w:p>
    <w:p>
      <w:pPr>
        <w:spacing w:line="520" w:lineRule="exact"/>
        <w:ind w:left="1024" w:leftChars="270" w:hanging="376"/>
        <w:rPr>
          <w:rFonts w:ascii="宋体" w:hAnsi="宋体"/>
          <w:sz w:val="21"/>
          <w:szCs w:val="21"/>
        </w:rPr>
      </w:pPr>
      <w:r>
        <w:rPr>
          <w:rFonts w:ascii="宋体" w:hAnsi="宋体"/>
          <w:sz w:val="21"/>
          <w:szCs w:val="21"/>
        </w:rPr>
        <w:t>2</w:t>
      </w:r>
      <w:r>
        <w:rPr>
          <w:rFonts w:hint="eastAsia" w:ascii="宋体" w:hAnsi="宋体"/>
          <w:sz w:val="21"/>
          <w:szCs w:val="21"/>
        </w:rPr>
        <w:t>．涉密人员范围：</w:t>
      </w:r>
      <w:r>
        <w:rPr>
          <w:rFonts w:hint="eastAsia" w:ascii="宋体" w:hAnsi="宋体"/>
          <w:sz w:val="21"/>
          <w:szCs w:val="21"/>
          <w:u w:val="single"/>
        </w:rPr>
        <w:t xml:space="preserve"> 合同接触者                                </w:t>
      </w:r>
    </w:p>
    <w:p>
      <w:pPr>
        <w:spacing w:line="520" w:lineRule="exact"/>
        <w:ind w:left="1024" w:leftChars="270" w:hanging="376"/>
        <w:rPr>
          <w:rFonts w:ascii="宋体" w:hAnsi="宋体"/>
          <w:sz w:val="21"/>
          <w:szCs w:val="21"/>
        </w:rPr>
      </w:pPr>
      <w:r>
        <w:rPr>
          <w:rFonts w:ascii="宋体" w:hAnsi="宋体"/>
          <w:sz w:val="21"/>
          <w:szCs w:val="21"/>
        </w:rPr>
        <w:t>3</w:t>
      </w:r>
      <w:r>
        <w:rPr>
          <w:rFonts w:hint="eastAsia" w:ascii="宋体" w:hAnsi="宋体"/>
          <w:sz w:val="21"/>
          <w:szCs w:val="21"/>
        </w:rPr>
        <w:t>．保密期限：</w:t>
      </w:r>
      <w:r>
        <w:rPr>
          <w:rFonts w:hint="eastAsia" w:ascii="宋体" w:hAnsi="宋体"/>
          <w:sz w:val="21"/>
          <w:szCs w:val="21"/>
          <w:u w:val="single"/>
        </w:rPr>
        <w:t xml:space="preserve"> 合同有效期及结束后                            </w:t>
      </w:r>
    </w:p>
    <w:p>
      <w:pPr>
        <w:spacing w:line="520" w:lineRule="exact"/>
        <w:ind w:left="1024" w:leftChars="270" w:hanging="376"/>
        <w:rPr>
          <w:rFonts w:ascii="宋体" w:hAnsi="宋体"/>
          <w:sz w:val="21"/>
          <w:szCs w:val="21"/>
        </w:rPr>
      </w:pPr>
      <w:r>
        <w:rPr>
          <w:rFonts w:ascii="宋体" w:hAnsi="宋体"/>
          <w:sz w:val="21"/>
          <w:szCs w:val="21"/>
        </w:rPr>
        <w:t>4</w:t>
      </w:r>
      <w:r>
        <w:rPr>
          <w:rFonts w:hint="eastAsia" w:ascii="宋体" w:hAnsi="宋体"/>
          <w:sz w:val="21"/>
          <w:szCs w:val="21"/>
        </w:rPr>
        <w:t>．泄密责任：</w:t>
      </w:r>
      <w:r>
        <w:rPr>
          <w:rFonts w:hint="eastAsia" w:ascii="宋体" w:hAnsi="宋体"/>
          <w:sz w:val="21"/>
          <w:szCs w:val="21"/>
          <w:u w:val="single"/>
        </w:rPr>
        <w:t xml:space="preserve"> 依照相关法律法规解决                          </w:t>
      </w:r>
    </w:p>
    <w:p>
      <w:pPr>
        <w:tabs>
          <w:tab w:val="left" w:pos="420"/>
          <w:tab w:val="left" w:pos="735"/>
        </w:tabs>
        <w:spacing w:line="520" w:lineRule="exact"/>
        <w:rPr>
          <w:rFonts w:ascii="宋体" w:hAnsi="宋体"/>
          <w:sz w:val="21"/>
          <w:szCs w:val="21"/>
        </w:rPr>
      </w:pPr>
      <w:r>
        <w:rPr>
          <w:rFonts w:ascii="宋体" w:hAnsi="宋体"/>
          <w:sz w:val="21"/>
          <w:szCs w:val="21"/>
        </w:rPr>
        <w:t xml:space="preserve">    </w:t>
      </w:r>
      <w:r>
        <w:rPr>
          <w:rFonts w:hint="eastAsia" w:ascii="宋体" w:hAnsi="宋体"/>
          <w:sz w:val="21"/>
          <w:szCs w:val="21"/>
        </w:rPr>
        <w:t>乙方：</w:t>
      </w:r>
    </w:p>
    <w:p>
      <w:pPr>
        <w:spacing w:line="520" w:lineRule="exact"/>
        <w:ind w:left="1023" w:hanging="1022" w:hangingChars="487"/>
        <w:rPr>
          <w:rFonts w:ascii="宋体" w:hAnsi="宋体"/>
          <w:sz w:val="21"/>
          <w:szCs w:val="21"/>
        </w:rPr>
      </w:pPr>
      <w:r>
        <w:rPr>
          <w:rFonts w:ascii="宋体" w:hAnsi="宋体"/>
          <w:sz w:val="21"/>
          <w:szCs w:val="21"/>
        </w:rPr>
        <w:t xml:space="preserve">   </w:t>
      </w:r>
      <w:r>
        <w:rPr>
          <w:rFonts w:hint="eastAsia" w:ascii="宋体" w:hAnsi="宋体"/>
          <w:sz w:val="21"/>
          <w:szCs w:val="21"/>
        </w:rPr>
        <w:t xml:space="preserve">  </w:t>
      </w:r>
      <w:r>
        <w:rPr>
          <w:rFonts w:ascii="宋体" w:hAnsi="宋体"/>
          <w:sz w:val="21"/>
          <w:szCs w:val="21"/>
        </w:rPr>
        <w:t xml:space="preserve"> 1</w:t>
      </w:r>
      <w:r>
        <w:rPr>
          <w:rFonts w:hint="eastAsia" w:ascii="宋体" w:hAnsi="宋体"/>
          <w:sz w:val="21"/>
          <w:szCs w:val="21"/>
        </w:rPr>
        <w:t>．保密内容（包括技术信息和经营信息）：</w:t>
      </w:r>
      <w:r>
        <w:rPr>
          <w:rFonts w:hint="eastAsia" w:ascii="宋体" w:hAnsi="宋体"/>
          <w:sz w:val="21"/>
          <w:szCs w:val="21"/>
          <w:u w:val="single"/>
        </w:rPr>
        <w:t xml:space="preserve"> 合同期间未经甲方同意不得向第三者透露或转让合同所规定的任何权利和义务。不论在合同有效期还是在本合同结束之后，均不应向第三者泄露任何本合同内容及其在执行工程中所获得的另一方的商业机密</w:t>
      </w:r>
      <w:r>
        <w:rPr>
          <w:rFonts w:hint="eastAsia" w:ascii="宋体" w:hAnsi="宋体"/>
          <w:sz w:val="21"/>
          <w:szCs w:val="21"/>
        </w:rPr>
        <w:t>。</w:t>
      </w:r>
    </w:p>
    <w:p>
      <w:pPr>
        <w:spacing w:line="520" w:lineRule="exact"/>
        <w:ind w:left="925" w:leftChars="266" w:hanging="287" w:hangingChars="137"/>
        <w:rPr>
          <w:rFonts w:ascii="宋体" w:hAnsi="宋体"/>
          <w:sz w:val="21"/>
          <w:szCs w:val="21"/>
        </w:rPr>
      </w:pPr>
      <w:r>
        <w:rPr>
          <w:rFonts w:ascii="宋体" w:hAnsi="宋体"/>
          <w:sz w:val="21"/>
          <w:szCs w:val="21"/>
        </w:rPr>
        <w:t>2</w:t>
      </w:r>
      <w:r>
        <w:rPr>
          <w:rFonts w:hint="eastAsia" w:ascii="宋体" w:hAnsi="宋体"/>
          <w:sz w:val="21"/>
          <w:szCs w:val="21"/>
        </w:rPr>
        <w:t>．涉密人员范围：</w:t>
      </w:r>
      <w:r>
        <w:rPr>
          <w:rFonts w:hint="eastAsia" w:ascii="宋体" w:hAnsi="宋体"/>
          <w:sz w:val="21"/>
          <w:szCs w:val="21"/>
          <w:u w:val="single"/>
        </w:rPr>
        <w:t xml:space="preserve"> 合同接触者                                </w:t>
      </w:r>
    </w:p>
    <w:p>
      <w:pPr>
        <w:spacing w:line="520" w:lineRule="exact"/>
        <w:rPr>
          <w:rFonts w:ascii="宋体" w:hAnsi="宋体"/>
          <w:sz w:val="21"/>
          <w:szCs w:val="21"/>
          <w:u w:val="single"/>
        </w:rPr>
      </w:pPr>
      <w:r>
        <w:rPr>
          <w:rFonts w:ascii="宋体" w:hAnsi="宋体"/>
          <w:sz w:val="21"/>
          <w:szCs w:val="21"/>
        </w:rPr>
        <w:t xml:space="preserve">   </w:t>
      </w:r>
      <w:r>
        <w:rPr>
          <w:rFonts w:hint="eastAsia" w:ascii="宋体" w:hAnsi="宋体"/>
          <w:sz w:val="21"/>
          <w:szCs w:val="21"/>
        </w:rPr>
        <w:t xml:space="preserve">  </w:t>
      </w:r>
      <w:r>
        <w:rPr>
          <w:rFonts w:ascii="宋体" w:hAnsi="宋体"/>
          <w:sz w:val="21"/>
          <w:szCs w:val="21"/>
        </w:rPr>
        <w:t xml:space="preserve"> 3</w:t>
      </w:r>
      <w:r>
        <w:rPr>
          <w:rFonts w:hint="eastAsia" w:ascii="宋体" w:hAnsi="宋体"/>
          <w:sz w:val="21"/>
          <w:szCs w:val="21"/>
        </w:rPr>
        <w:t>．保密期限：</w:t>
      </w:r>
      <w:r>
        <w:rPr>
          <w:rFonts w:hint="eastAsia" w:ascii="宋体" w:hAnsi="宋体"/>
          <w:sz w:val="21"/>
          <w:szCs w:val="21"/>
          <w:u w:val="single"/>
        </w:rPr>
        <w:t xml:space="preserve"> 合同有效期及结束后                            </w:t>
      </w:r>
    </w:p>
    <w:p>
      <w:pPr>
        <w:spacing w:line="520" w:lineRule="exact"/>
        <w:rPr>
          <w:rFonts w:ascii="宋体" w:hAnsi="宋体"/>
          <w:sz w:val="21"/>
          <w:szCs w:val="21"/>
        </w:rPr>
      </w:pPr>
      <w:r>
        <w:rPr>
          <w:rFonts w:ascii="宋体" w:hAnsi="宋体"/>
          <w:sz w:val="21"/>
          <w:szCs w:val="21"/>
        </w:rPr>
        <w:t xml:space="preserve">  </w:t>
      </w:r>
      <w:r>
        <w:rPr>
          <w:rFonts w:hint="eastAsia" w:ascii="宋体" w:hAnsi="宋体"/>
          <w:sz w:val="21"/>
          <w:szCs w:val="21"/>
        </w:rPr>
        <w:t xml:space="preserve">  </w:t>
      </w:r>
      <w:r>
        <w:rPr>
          <w:rFonts w:ascii="宋体" w:hAnsi="宋体"/>
          <w:sz w:val="21"/>
          <w:szCs w:val="21"/>
        </w:rPr>
        <w:t xml:space="preserve">  4</w:t>
      </w:r>
      <w:r>
        <w:rPr>
          <w:rFonts w:hint="eastAsia" w:ascii="宋体" w:hAnsi="宋体"/>
          <w:sz w:val="21"/>
          <w:szCs w:val="21"/>
        </w:rPr>
        <w:t>．泄密责任：</w:t>
      </w:r>
      <w:r>
        <w:rPr>
          <w:rFonts w:hint="eastAsia" w:ascii="宋体" w:hAnsi="宋体"/>
          <w:sz w:val="21"/>
          <w:szCs w:val="21"/>
          <w:u w:val="single"/>
        </w:rPr>
        <w:t xml:space="preserve"> 依照相关法律法规解决                          </w:t>
      </w:r>
    </w:p>
    <w:p>
      <w:pPr>
        <w:spacing w:line="520" w:lineRule="exact"/>
        <w:rPr>
          <w:rFonts w:ascii="宋体" w:hAnsi="宋体"/>
          <w:sz w:val="21"/>
          <w:szCs w:val="21"/>
        </w:rPr>
      </w:pPr>
      <w:r>
        <w:rPr>
          <w:rFonts w:ascii="宋体" w:hAnsi="宋体"/>
          <w:sz w:val="21"/>
          <w:szCs w:val="21"/>
        </w:rPr>
        <w:t xml:space="preserve">    </w:t>
      </w:r>
      <w:r>
        <w:rPr>
          <w:rFonts w:hint="eastAsia" w:ascii="宋体" w:hAnsi="宋体"/>
          <w:sz w:val="21"/>
          <w:szCs w:val="21"/>
        </w:rPr>
        <w:t>第六条 本合同的变更必须由双方协商一致，并以书面形式确定。但有下列情形之一的，一方可以向另一方提出变更合同权利与义务的请求，另一方应当在</w:t>
      </w:r>
      <w:r>
        <w:rPr>
          <w:rFonts w:ascii="宋体" w:hAnsi="宋体"/>
          <w:sz w:val="21"/>
          <w:szCs w:val="21"/>
          <w:u w:val="single"/>
        </w:rPr>
        <w:t xml:space="preserve">  </w:t>
      </w:r>
      <w:r>
        <w:rPr>
          <w:rFonts w:hint="eastAsia" w:ascii="宋体" w:hAnsi="宋体"/>
          <w:sz w:val="21"/>
          <w:szCs w:val="21"/>
          <w:u w:val="single"/>
        </w:rPr>
        <w:t>10</w:t>
      </w:r>
      <w:r>
        <w:rPr>
          <w:rFonts w:ascii="宋体" w:hAnsi="宋体"/>
          <w:sz w:val="21"/>
          <w:szCs w:val="21"/>
          <w:u w:val="single"/>
        </w:rPr>
        <w:t xml:space="preserve">  </w:t>
      </w:r>
      <w:r>
        <w:rPr>
          <w:rFonts w:hint="eastAsia" w:ascii="宋体" w:hAnsi="宋体"/>
          <w:sz w:val="21"/>
          <w:szCs w:val="21"/>
        </w:rPr>
        <w:t>日内予以答复；逾期未予答复的，视为同意：</w:t>
      </w:r>
    </w:p>
    <w:p>
      <w:pPr>
        <w:spacing w:line="520" w:lineRule="exact"/>
        <w:ind w:left="708" w:hanging="707" w:hangingChars="337"/>
        <w:rPr>
          <w:rFonts w:ascii="宋体" w:hAnsi="宋体"/>
          <w:sz w:val="21"/>
          <w:szCs w:val="21"/>
          <w:u w:val="single"/>
        </w:rPr>
      </w:pPr>
      <w:r>
        <w:rPr>
          <w:rFonts w:ascii="宋体" w:hAnsi="宋体"/>
          <w:sz w:val="21"/>
          <w:szCs w:val="21"/>
        </w:rPr>
        <w:t xml:space="preserve">    1</w:t>
      </w:r>
      <w:r>
        <w:rPr>
          <w:rFonts w:hint="eastAsia" w:ascii="宋体" w:hAnsi="宋体"/>
          <w:sz w:val="21"/>
          <w:szCs w:val="21"/>
        </w:rPr>
        <w:t>．</w:t>
      </w:r>
      <w:r>
        <w:rPr>
          <w:rFonts w:hint="eastAsia" w:ascii="宋体" w:hAnsi="宋体"/>
          <w:sz w:val="21"/>
          <w:szCs w:val="21"/>
          <w:u w:val="single"/>
        </w:rPr>
        <w:t>若在履约过程中，甲方需要乙方提供迁址或改变带宽等服务，应另行签订相应合同作为补充，待甲方支付了相应款项后，乙方应积极实施相应的服务</w:t>
      </w:r>
      <w:r>
        <w:rPr>
          <w:rFonts w:hint="eastAsia" w:ascii="宋体" w:hAnsi="宋体"/>
          <w:sz w:val="21"/>
          <w:szCs w:val="21"/>
        </w:rPr>
        <w:t>。</w:t>
      </w:r>
    </w:p>
    <w:p>
      <w:pPr>
        <w:spacing w:line="520" w:lineRule="exact"/>
        <w:ind w:firstLine="420" w:firstLineChars="200"/>
        <w:rPr>
          <w:rFonts w:ascii="宋体" w:hAnsi="宋体"/>
          <w:sz w:val="21"/>
          <w:szCs w:val="21"/>
          <w:u w:val="single"/>
        </w:rPr>
      </w:pPr>
      <w:r>
        <w:rPr>
          <w:rFonts w:hint="eastAsia" w:ascii="宋体" w:hAnsi="宋体"/>
          <w:sz w:val="21"/>
          <w:szCs w:val="21"/>
        </w:rPr>
        <w:t>第七条 双方确定以下列标准和方式对乙方的技术服务工作成果进行验收：</w:t>
      </w:r>
    </w:p>
    <w:p>
      <w:pPr>
        <w:spacing w:line="520" w:lineRule="exact"/>
        <w:ind w:firstLine="454"/>
        <w:rPr>
          <w:rFonts w:ascii="宋体" w:hAnsi="宋体"/>
          <w:sz w:val="21"/>
          <w:szCs w:val="21"/>
          <w:u w:val="single"/>
        </w:rPr>
      </w:pPr>
      <w:r>
        <w:rPr>
          <w:rFonts w:ascii="宋体" w:hAnsi="宋体"/>
          <w:sz w:val="21"/>
          <w:szCs w:val="21"/>
        </w:rPr>
        <w:t>1</w:t>
      </w:r>
      <w:r>
        <w:rPr>
          <w:rFonts w:hint="eastAsia" w:ascii="宋体" w:hAnsi="宋体"/>
          <w:sz w:val="21"/>
          <w:szCs w:val="21"/>
        </w:rPr>
        <w:t>．乙方完成技术服务工作的形式：</w:t>
      </w:r>
      <w:r>
        <w:rPr>
          <w:rFonts w:hint="eastAsia" w:ascii="宋体" w:hAnsi="宋体"/>
          <w:sz w:val="21"/>
          <w:szCs w:val="21"/>
          <w:u w:val="single"/>
        </w:rPr>
        <w:t xml:space="preserve">                           </w:t>
      </w:r>
    </w:p>
    <w:p>
      <w:pPr>
        <w:spacing w:line="520" w:lineRule="exact"/>
        <w:ind w:firstLine="454"/>
        <w:rPr>
          <w:rFonts w:ascii="宋体" w:hAnsi="宋体"/>
          <w:sz w:val="21"/>
          <w:szCs w:val="21"/>
        </w:rPr>
      </w:pPr>
      <w:r>
        <w:rPr>
          <w:rFonts w:ascii="宋体" w:hAnsi="宋体"/>
          <w:sz w:val="21"/>
          <w:szCs w:val="21"/>
        </w:rPr>
        <w:t>2</w:t>
      </w:r>
      <w:r>
        <w:rPr>
          <w:rFonts w:hint="eastAsia" w:ascii="宋体" w:hAnsi="宋体"/>
          <w:sz w:val="21"/>
          <w:szCs w:val="21"/>
        </w:rPr>
        <w:t>．技术服务工作成果的验收标准：</w:t>
      </w:r>
      <w:r>
        <w:rPr>
          <w:rFonts w:hint="eastAsia" w:ascii="宋体" w:hAnsi="宋体"/>
          <w:sz w:val="21"/>
          <w:szCs w:val="21"/>
          <w:u w:val="single"/>
        </w:rPr>
        <w:t xml:space="preserve">                           </w:t>
      </w:r>
    </w:p>
    <w:p>
      <w:pPr>
        <w:spacing w:line="520" w:lineRule="exact"/>
        <w:ind w:firstLine="454"/>
        <w:rPr>
          <w:rFonts w:ascii="宋体" w:hAnsi="宋体"/>
          <w:sz w:val="21"/>
          <w:szCs w:val="21"/>
        </w:rPr>
      </w:pPr>
      <w:r>
        <w:rPr>
          <w:rFonts w:ascii="宋体" w:hAnsi="宋体"/>
          <w:sz w:val="21"/>
          <w:szCs w:val="21"/>
        </w:rPr>
        <w:t>3</w:t>
      </w:r>
      <w:r>
        <w:rPr>
          <w:rFonts w:hint="eastAsia" w:ascii="宋体" w:hAnsi="宋体"/>
          <w:sz w:val="21"/>
          <w:szCs w:val="21"/>
        </w:rPr>
        <w:t>．技术服务工作成果的验收方法：</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p>
    <w:p>
      <w:pPr>
        <w:spacing w:line="520" w:lineRule="exact"/>
        <w:ind w:firstLine="454"/>
        <w:rPr>
          <w:rFonts w:ascii="宋体" w:hAnsi="宋体"/>
          <w:sz w:val="21"/>
          <w:szCs w:val="21"/>
        </w:rPr>
      </w:pPr>
      <w:r>
        <w:rPr>
          <w:rFonts w:ascii="宋体" w:hAnsi="宋体"/>
          <w:sz w:val="21"/>
          <w:szCs w:val="21"/>
        </w:rPr>
        <w:t>4</w:t>
      </w:r>
      <w:r>
        <w:rPr>
          <w:rFonts w:hint="eastAsia" w:ascii="宋体" w:hAnsi="宋体"/>
          <w:sz w:val="21"/>
          <w:szCs w:val="21"/>
        </w:rPr>
        <w:t>．验收的时间和地点：</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p>
    <w:p>
      <w:pPr>
        <w:spacing w:line="520" w:lineRule="exact"/>
        <w:ind w:firstLine="420" w:firstLineChars="200"/>
        <w:rPr>
          <w:rFonts w:ascii="宋体" w:hAnsi="宋体"/>
          <w:sz w:val="21"/>
          <w:szCs w:val="21"/>
        </w:rPr>
      </w:pPr>
      <w:r>
        <w:rPr>
          <w:rFonts w:hint="eastAsia" w:ascii="宋体" w:hAnsi="宋体"/>
          <w:sz w:val="21"/>
          <w:szCs w:val="21"/>
        </w:rPr>
        <w:t>第八条 双方确定：</w:t>
      </w:r>
    </w:p>
    <w:p>
      <w:pPr>
        <w:spacing w:line="520" w:lineRule="exact"/>
        <w:ind w:firstLine="420" w:firstLineChars="200"/>
        <w:rPr>
          <w:rFonts w:ascii="宋体" w:hAnsi="宋体"/>
          <w:sz w:val="21"/>
          <w:szCs w:val="21"/>
        </w:rPr>
      </w:pPr>
      <w:r>
        <w:rPr>
          <w:rFonts w:ascii="宋体" w:hAnsi="宋体"/>
          <w:sz w:val="21"/>
          <w:szCs w:val="21"/>
        </w:rPr>
        <w:t>1</w:t>
      </w:r>
      <w:r>
        <w:rPr>
          <w:rFonts w:hint="eastAsia" w:ascii="宋体" w:hAnsi="宋体"/>
          <w:sz w:val="21"/>
          <w:szCs w:val="21"/>
        </w:rPr>
        <w:t>．在本合同有效期内，甲方利用乙方提交的技术服务和工作成果所完成的新的技术成果，归</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rPr>
        <w:t>（甲、双）方所有。</w:t>
      </w:r>
    </w:p>
    <w:p>
      <w:pPr>
        <w:spacing w:line="520" w:lineRule="exact"/>
        <w:ind w:firstLine="420" w:firstLineChars="200"/>
        <w:rPr>
          <w:rFonts w:ascii="宋体" w:hAnsi="宋体"/>
          <w:sz w:val="21"/>
          <w:szCs w:val="21"/>
        </w:rPr>
      </w:pPr>
      <w:r>
        <w:rPr>
          <w:rFonts w:ascii="宋体" w:hAnsi="宋体"/>
          <w:sz w:val="21"/>
          <w:szCs w:val="21"/>
        </w:rPr>
        <w:t>2</w:t>
      </w:r>
      <w:r>
        <w:rPr>
          <w:rFonts w:hint="eastAsia" w:ascii="宋体" w:hAnsi="宋体"/>
          <w:sz w:val="21"/>
          <w:szCs w:val="21"/>
        </w:rPr>
        <w:t>．在本合同有效期内，乙方利用甲方提供的技术资料和工作条件所完成的新的技术成果，归</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rPr>
        <w:t>（乙、双）方所有。</w:t>
      </w:r>
    </w:p>
    <w:p>
      <w:pPr>
        <w:spacing w:line="520" w:lineRule="exact"/>
        <w:ind w:firstLine="420" w:firstLineChars="200"/>
        <w:rPr>
          <w:rFonts w:ascii="宋体" w:hAnsi="宋体"/>
          <w:sz w:val="21"/>
          <w:szCs w:val="21"/>
        </w:rPr>
      </w:pPr>
      <w:r>
        <w:rPr>
          <w:rFonts w:hint="eastAsia" w:ascii="宋体" w:hAnsi="宋体"/>
          <w:sz w:val="21"/>
          <w:szCs w:val="21"/>
        </w:rPr>
        <w:t>第九条 双方确定，按以下约定承担各自的违约责任：</w:t>
      </w:r>
    </w:p>
    <w:p>
      <w:pPr>
        <w:spacing w:line="520" w:lineRule="exact"/>
        <w:ind w:firstLine="420" w:firstLineChars="200"/>
        <w:rPr>
          <w:rFonts w:ascii="宋体" w:hAnsi="宋体"/>
          <w:sz w:val="21"/>
          <w:szCs w:val="21"/>
        </w:rPr>
      </w:pPr>
      <w:r>
        <w:rPr>
          <w:rFonts w:ascii="宋体" w:hAnsi="宋体"/>
          <w:sz w:val="21"/>
          <w:szCs w:val="21"/>
        </w:rPr>
        <w:t>1</w:t>
      </w:r>
      <w:r>
        <w:rPr>
          <w:rFonts w:hint="eastAsia" w:ascii="宋体" w:hAnsi="宋体"/>
          <w:sz w:val="21"/>
          <w:szCs w:val="21"/>
        </w:rPr>
        <w:t>．</w:t>
      </w:r>
      <w:r>
        <w:rPr>
          <w:rFonts w:ascii="宋体" w:hAnsi="宋体"/>
          <w:sz w:val="21"/>
          <w:szCs w:val="21"/>
          <w:u w:val="single"/>
        </w:rPr>
        <w:t xml:space="preserve">  </w:t>
      </w:r>
      <w:r>
        <w:rPr>
          <w:rFonts w:hint="eastAsia" w:ascii="宋体" w:hAnsi="宋体"/>
          <w:sz w:val="21"/>
          <w:szCs w:val="21"/>
          <w:u w:val="single"/>
        </w:rPr>
        <w:t>甲</w:t>
      </w:r>
      <w:r>
        <w:rPr>
          <w:rFonts w:ascii="宋体" w:hAnsi="宋体"/>
          <w:sz w:val="21"/>
          <w:szCs w:val="21"/>
          <w:u w:val="single"/>
        </w:rPr>
        <w:t xml:space="preserve">  </w:t>
      </w:r>
      <w:r>
        <w:rPr>
          <w:rFonts w:hint="eastAsia" w:ascii="宋体" w:hAnsi="宋体"/>
          <w:sz w:val="21"/>
          <w:szCs w:val="21"/>
        </w:rPr>
        <w:t>方违反本合同第</w:t>
      </w:r>
      <w:r>
        <w:rPr>
          <w:rFonts w:hint="eastAsia" w:ascii="宋体" w:hAnsi="宋体"/>
          <w:sz w:val="21"/>
          <w:szCs w:val="21"/>
          <w:u w:val="single"/>
        </w:rPr>
        <w:t xml:space="preserve">  二  </w:t>
      </w:r>
      <w:r>
        <w:rPr>
          <w:rFonts w:hint="eastAsia" w:ascii="宋体" w:hAnsi="宋体"/>
          <w:sz w:val="21"/>
          <w:szCs w:val="21"/>
        </w:rPr>
        <w:t>条第</w:t>
      </w:r>
      <w:r>
        <w:rPr>
          <w:rFonts w:hint="eastAsia" w:ascii="宋体" w:hAnsi="宋体"/>
          <w:sz w:val="21"/>
          <w:szCs w:val="21"/>
          <w:u w:val="single"/>
        </w:rPr>
        <w:t xml:space="preserve">  2  </w:t>
      </w:r>
      <w:r>
        <w:rPr>
          <w:rFonts w:hint="eastAsia" w:ascii="宋体" w:hAnsi="宋体"/>
          <w:sz w:val="21"/>
          <w:szCs w:val="21"/>
        </w:rPr>
        <w:t>点约定，应当</w:t>
      </w:r>
      <w:r>
        <w:rPr>
          <w:rFonts w:hint="eastAsia" w:ascii="宋体" w:hAnsi="宋体"/>
          <w:sz w:val="21"/>
          <w:szCs w:val="21"/>
          <w:u w:val="single"/>
        </w:rPr>
        <w:t xml:space="preserve">  赔偿乙方签约日约定的月技术服务费*至合同届满时未履约月份数*50%的违约金。 </w:t>
      </w:r>
      <w:r>
        <w:rPr>
          <w:rFonts w:hint="eastAsia" w:ascii="宋体" w:hAnsi="宋体"/>
          <w:sz w:val="21"/>
          <w:szCs w:val="21"/>
        </w:rPr>
        <w:t>（支付违约金或损失赔偿额的计算方法）。</w:t>
      </w:r>
    </w:p>
    <w:p>
      <w:pPr>
        <w:spacing w:line="520" w:lineRule="exact"/>
        <w:ind w:firstLine="420" w:firstLineChars="200"/>
        <w:rPr>
          <w:rFonts w:ascii="宋体" w:hAnsi="宋体"/>
          <w:sz w:val="21"/>
          <w:szCs w:val="21"/>
        </w:rPr>
      </w:pPr>
      <w:r>
        <w:rPr>
          <w:rFonts w:hint="eastAsia" w:ascii="宋体" w:hAnsi="宋体"/>
          <w:sz w:val="21"/>
          <w:szCs w:val="21"/>
        </w:rPr>
        <w:t>2. 如甲方违反了本合同第</w:t>
      </w:r>
      <w:r>
        <w:rPr>
          <w:rFonts w:hint="eastAsia" w:ascii="宋体" w:hAnsi="宋体"/>
          <w:sz w:val="21"/>
          <w:szCs w:val="21"/>
          <w:u w:val="single"/>
        </w:rPr>
        <w:t xml:space="preserve">  一  </w:t>
      </w:r>
      <w:r>
        <w:rPr>
          <w:rFonts w:hint="eastAsia" w:ascii="宋体" w:hAnsi="宋体"/>
          <w:sz w:val="21"/>
          <w:szCs w:val="21"/>
        </w:rPr>
        <w:t>条第</w:t>
      </w:r>
      <w:r>
        <w:rPr>
          <w:rFonts w:hint="eastAsia" w:ascii="宋体" w:hAnsi="宋体"/>
          <w:sz w:val="21"/>
          <w:szCs w:val="21"/>
          <w:u w:val="single"/>
        </w:rPr>
        <w:t xml:space="preserve">  4  </w:t>
      </w:r>
      <w:r>
        <w:rPr>
          <w:rFonts w:hint="eastAsia" w:ascii="宋体" w:hAnsi="宋体"/>
          <w:sz w:val="21"/>
          <w:szCs w:val="21"/>
        </w:rPr>
        <w:t>点或第</w:t>
      </w:r>
      <w:r>
        <w:rPr>
          <w:rFonts w:hint="eastAsia" w:ascii="宋体" w:hAnsi="宋体"/>
          <w:sz w:val="21"/>
          <w:szCs w:val="21"/>
          <w:u w:val="single"/>
        </w:rPr>
        <w:t xml:space="preserve">  三  </w:t>
      </w:r>
      <w:r>
        <w:rPr>
          <w:rFonts w:hint="eastAsia" w:ascii="宋体" w:hAnsi="宋体"/>
          <w:sz w:val="21"/>
          <w:szCs w:val="21"/>
        </w:rPr>
        <w:t>条或第</w:t>
      </w:r>
      <w:r>
        <w:rPr>
          <w:rFonts w:hint="eastAsia" w:ascii="宋体" w:hAnsi="宋体"/>
          <w:sz w:val="21"/>
          <w:szCs w:val="21"/>
          <w:u w:val="single"/>
        </w:rPr>
        <w:t xml:space="preserve"> 四 </w:t>
      </w:r>
      <w:r>
        <w:rPr>
          <w:rFonts w:hint="eastAsia" w:ascii="宋体" w:hAnsi="宋体"/>
          <w:sz w:val="21"/>
          <w:szCs w:val="21"/>
        </w:rPr>
        <w:t>条第</w:t>
      </w:r>
      <w:r>
        <w:rPr>
          <w:rFonts w:hint="eastAsia" w:ascii="宋体" w:hAnsi="宋体"/>
          <w:sz w:val="21"/>
          <w:szCs w:val="21"/>
          <w:u w:val="single"/>
        </w:rPr>
        <w:t xml:space="preserve"> 2 </w:t>
      </w:r>
      <w:r>
        <w:rPr>
          <w:rFonts w:hint="eastAsia" w:ascii="宋体" w:hAnsi="宋体"/>
          <w:sz w:val="21"/>
          <w:szCs w:val="21"/>
        </w:rPr>
        <w:t>点的有关规定，则乙方可停止相关服务，并不承担违约责任。</w:t>
      </w:r>
    </w:p>
    <w:p>
      <w:pPr>
        <w:spacing w:line="520" w:lineRule="exact"/>
        <w:ind w:firstLine="420" w:firstLineChars="200"/>
        <w:rPr>
          <w:rFonts w:ascii="宋体" w:hAnsi="宋体"/>
          <w:sz w:val="21"/>
          <w:szCs w:val="21"/>
        </w:rPr>
      </w:pPr>
      <w:r>
        <w:rPr>
          <w:rFonts w:hint="eastAsia" w:ascii="宋体" w:hAnsi="宋体"/>
          <w:sz w:val="21"/>
          <w:szCs w:val="21"/>
        </w:rPr>
        <w:t>3．</w:t>
      </w:r>
      <w:r>
        <w:rPr>
          <w:rFonts w:ascii="宋体" w:hAnsi="宋体"/>
          <w:sz w:val="21"/>
          <w:szCs w:val="21"/>
          <w:u w:val="single"/>
        </w:rPr>
        <w:t xml:space="preserve">  </w:t>
      </w:r>
      <w:r>
        <w:rPr>
          <w:rFonts w:hint="eastAsia" w:ascii="宋体" w:hAnsi="宋体"/>
          <w:sz w:val="21"/>
          <w:szCs w:val="21"/>
          <w:u w:val="single"/>
        </w:rPr>
        <w:t xml:space="preserve">乙  </w:t>
      </w:r>
      <w:r>
        <w:rPr>
          <w:rFonts w:hint="eastAsia" w:ascii="宋体" w:hAnsi="宋体"/>
          <w:sz w:val="21"/>
          <w:szCs w:val="21"/>
        </w:rPr>
        <w:t>方违反本合同第</w:t>
      </w:r>
      <w:r>
        <w:rPr>
          <w:rFonts w:ascii="宋体" w:hAnsi="宋体"/>
          <w:sz w:val="21"/>
          <w:szCs w:val="21"/>
          <w:u w:val="single"/>
        </w:rPr>
        <w:t xml:space="preserve">  </w:t>
      </w:r>
      <w:r>
        <w:rPr>
          <w:rFonts w:hint="eastAsia" w:ascii="宋体" w:hAnsi="宋体"/>
          <w:sz w:val="21"/>
          <w:szCs w:val="21"/>
          <w:u w:val="single"/>
        </w:rPr>
        <w:t xml:space="preserve">二 </w:t>
      </w:r>
      <w:r>
        <w:rPr>
          <w:rFonts w:ascii="宋体" w:hAnsi="宋体"/>
          <w:sz w:val="21"/>
          <w:szCs w:val="21"/>
          <w:u w:val="single"/>
        </w:rPr>
        <w:t xml:space="preserve"> </w:t>
      </w:r>
      <w:r>
        <w:rPr>
          <w:rFonts w:hint="eastAsia" w:ascii="宋体" w:hAnsi="宋体"/>
          <w:sz w:val="21"/>
          <w:szCs w:val="21"/>
        </w:rPr>
        <w:t>条约定，应当</w:t>
      </w:r>
      <w:r>
        <w:rPr>
          <w:rFonts w:hint="eastAsia" w:ascii="宋体" w:hAnsi="宋体"/>
          <w:sz w:val="21"/>
          <w:szCs w:val="21"/>
          <w:u w:val="single"/>
        </w:rPr>
        <w:t xml:space="preserve"> 对甲方予以补偿，一个月内连续中断时间大于1小时，乙方将免收甲方当月2％的月技术服务费；连续中断时间不足一小时的补偿方式为延长服务时间，即在合同期满后，乙方向甲方提供服务中断时间的1.5倍作为补偿服务时间，补偿服务时间的最小单位为1小时，不足一小时按一小时计算 </w:t>
      </w:r>
      <w:r>
        <w:rPr>
          <w:rFonts w:hint="eastAsia" w:ascii="宋体" w:hAnsi="宋体"/>
          <w:sz w:val="21"/>
          <w:szCs w:val="21"/>
        </w:rPr>
        <w:t>。（支付违约金或损失赔偿额的计算方法）。</w:t>
      </w:r>
    </w:p>
    <w:p>
      <w:pPr>
        <w:pStyle w:val="21"/>
        <w:spacing w:line="520" w:lineRule="exact"/>
        <w:ind w:left="0" w:leftChars="0" w:firstLine="525" w:firstLineChars="250"/>
        <w:rPr>
          <w:sz w:val="21"/>
          <w:szCs w:val="21"/>
        </w:rPr>
      </w:pPr>
      <w:r>
        <w:rPr>
          <w:rFonts w:hint="eastAsia"/>
          <w:sz w:val="21"/>
          <w:szCs w:val="21"/>
        </w:rPr>
        <w:t>第十条 双方确定，在本合同有效期内，甲方指定</w:t>
      </w:r>
      <w:r>
        <w:rPr>
          <w:rFonts w:hint="eastAsia"/>
          <w:sz w:val="21"/>
          <w:szCs w:val="21"/>
          <w:u w:val="single"/>
        </w:rPr>
        <w:t xml:space="preserve">        </w:t>
      </w:r>
      <w:r>
        <w:rPr>
          <w:rFonts w:hint="eastAsia"/>
          <w:sz w:val="21"/>
          <w:szCs w:val="21"/>
        </w:rPr>
        <w:t>为甲方项目联系人，乙方指定</w:t>
      </w:r>
      <w:r>
        <w:rPr>
          <w:sz w:val="21"/>
          <w:szCs w:val="21"/>
          <w:u w:val="single"/>
        </w:rPr>
        <w:t xml:space="preserve"> </w:t>
      </w:r>
      <w:r>
        <w:rPr>
          <w:rFonts w:hint="eastAsia"/>
          <w:sz w:val="21"/>
          <w:szCs w:val="21"/>
          <w:u w:val="single"/>
        </w:rPr>
        <w:t xml:space="preserve">          （或其他客服人员 </w:t>
      </w:r>
      <w:r>
        <w:rPr>
          <w:rFonts w:hint="eastAsia"/>
          <w:sz w:val="21"/>
          <w:szCs w:val="21"/>
        </w:rPr>
        <w:t>为乙方项目联系人。项目联系人承担以下责任：</w:t>
      </w:r>
    </w:p>
    <w:p>
      <w:pPr>
        <w:pStyle w:val="21"/>
        <w:spacing w:line="520" w:lineRule="exact"/>
        <w:ind w:leftChars="175"/>
        <w:rPr>
          <w:sz w:val="21"/>
          <w:szCs w:val="21"/>
        </w:rPr>
      </w:pPr>
      <w:r>
        <w:rPr>
          <w:rFonts w:ascii="宋体" w:hAnsi="宋体"/>
          <w:sz w:val="21"/>
          <w:szCs w:val="21"/>
        </w:rPr>
        <w:t>1</w:t>
      </w:r>
      <w:r>
        <w:rPr>
          <w:rFonts w:hint="eastAsia" w:ascii="宋体" w:hAnsi="宋体"/>
          <w:sz w:val="21"/>
          <w:szCs w:val="21"/>
        </w:rPr>
        <w:t>．</w:t>
      </w:r>
      <w:r>
        <w:rPr>
          <w:rFonts w:hint="eastAsia" w:ascii="宋体" w:hAnsi="宋体"/>
          <w:sz w:val="21"/>
          <w:szCs w:val="21"/>
          <w:u w:val="single"/>
        </w:rPr>
        <w:t xml:space="preserve">  甲方联系人要及时将相关技术变更通知乙方                   </w:t>
      </w:r>
      <w:r>
        <w:rPr>
          <w:rFonts w:hint="eastAsia" w:ascii="宋体" w:hAnsi="宋体"/>
          <w:sz w:val="21"/>
          <w:szCs w:val="21"/>
        </w:rPr>
        <w:t>；</w:t>
      </w:r>
    </w:p>
    <w:p>
      <w:pPr>
        <w:spacing w:line="520" w:lineRule="exact"/>
        <w:ind w:firstLine="420" w:firstLineChars="200"/>
        <w:rPr>
          <w:rFonts w:ascii="宋体" w:hAnsi="宋体"/>
          <w:sz w:val="21"/>
          <w:szCs w:val="21"/>
        </w:rPr>
      </w:pPr>
      <w:r>
        <w:rPr>
          <w:rFonts w:ascii="宋体" w:hAnsi="宋体"/>
          <w:sz w:val="21"/>
          <w:szCs w:val="21"/>
        </w:rPr>
        <w:t>2</w:t>
      </w:r>
      <w:r>
        <w:rPr>
          <w:rFonts w:hint="eastAsia" w:ascii="宋体" w:hAnsi="宋体"/>
          <w:sz w:val="21"/>
          <w:szCs w:val="21"/>
        </w:rPr>
        <w:t>．</w:t>
      </w:r>
      <w:r>
        <w:rPr>
          <w:rFonts w:hint="eastAsia" w:ascii="宋体" w:hAnsi="宋体"/>
          <w:sz w:val="21"/>
          <w:szCs w:val="21"/>
          <w:u w:val="single"/>
        </w:rPr>
        <w:t xml:space="preserve">  双方联系人负责项目的及时沟通                             </w:t>
      </w:r>
      <w:r>
        <w:rPr>
          <w:rFonts w:hint="eastAsia" w:ascii="宋体" w:hAnsi="宋体"/>
          <w:sz w:val="21"/>
          <w:szCs w:val="21"/>
        </w:rPr>
        <w:t>。</w:t>
      </w:r>
    </w:p>
    <w:p>
      <w:pPr>
        <w:spacing w:line="520" w:lineRule="exact"/>
        <w:rPr>
          <w:rFonts w:ascii="宋体" w:hAnsi="宋体"/>
          <w:sz w:val="21"/>
          <w:szCs w:val="21"/>
        </w:rPr>
      </w:pPr>
      <w:r>
        <w:rPr>
          <w:rFonts w:ascii="宋体" w:hAnsi="宋体"/>
          <w:sz w:val="21"/>
          <w:szCs w:val="21"/>
        </w:rPr>
        <w:t xml:space="preserve">    </w:t>
      </w:r>
      <w:r>
        <w:rPr>
          <w:rFonts w:hint="eastAsia" w:ascii="宋体" w:hAnsi="宋体"/>
          <w:sz w:val="21"/>
          <w:szCs w:val="21"/>
        </w:rPr>
        <w:t>一方变更项目联系人的，应当及时以书面形式通知另一方。未及时通知并影响本合同履行或造成损失的，应承担相应的责任。</w:t>
      </w:r>
    </w:p>
    <w:p>
      <w:pPr>
        <w:spacing w:line="520" w:lineRule="exact"/>
        <w:ind w:firstLine="420" w:firstLineChars="200"/>
        <w:rPr>
          <w:rFonts w:ascii="宋体" w:hAnsi="宋体"/>
          <w:sz w:val="21"/>
          <w:szCs w:val="21"/>
        </w:rPr>
      </w:pPr>
      <w:r>
        <w:rPr>
          <w:rFonts w:hint="eastAsia" w:ascii="宋体" w:hAnsi="宋体"/>
          <w:sz w:val="21"/>
          <w:szCs w:val="21"/>
        </w:rPr>
        <w:t>第十一条 双方确定，出现下列情形，致使本合同的履行成为不必要或不可能的，可以解除本合同：</w:t>
      </w:r>
    </w:p>
    <w:p>
      <w:pPr>
        <w:spacing w:line="520" w:lineRule="exact"/>
        <w:rPr>
          <w:rFonts w:ascii="宋体" w:hAnsi="宋体"/>
          <w:sz w:val="21"/>
          <w:szCs w:val="21"/>
        </w:rPr>
      </w:pPr>
      <w:r>
        <w:rPr>
          <w:rFonts w:ascii="宋体" w:hAnsi="宋体"/>
          <w:sz w:val="21"/>
          <w:szCs w:val="21"/>
        </w:rPr>
        <w:t xml:space="preserve">      1</w:t>
      </w:r>
      <w:r>
        <w:rPr>
          <w:rFonts w:hint="eastAsia" w:ascii="宋体" w:hAnsi="宋体"/>
          <w:sz w:val="21"/>
          <w:szCs w:val="21"/>
        </w:rPr>
        <w:t>．</w:t>
      </w:r>
      <w:r>
        <w:rPr>
          <w:rFonts w:hint="eastAsia" w:ascii="宋体" w:hAnsi="宋体"/>
          <w:sz w:val="21"/>
          <w:szCs w:val="21"/>
          <w:u w:val="single"/>
        </w:rPr>
        <w:t xml:space="preserve"> 发生不可抗力                                            </w:t>
      </w:r>
      <w:r>
        <w:rPr>
          <w:rFonts w:hint="eastAsia" w:ascii="宋体" w:hAnsi="宋体"/>
          <w:sz w:val="21"/>
          <w:szCs w:val="21"/>
        </w:rPr>
        <w:t>；</w:t>
      </w:r>
    </w:p>
    <w:p>
      <w:pPr>
        <w:spacing w:line="520" w:lineRule="exact"/>
        <w:rPr>
          <w:rFonts w:ascii="宋体" w:hAnsi="宋体"/>
          <w:sz w:val="21"/>
          <w:szCs w:val="21"/>
          <w:u w:val="single"/>
        </w:rPr>
      </w:pPr>
      <w:r>
        <w:rPr>
          <w:rFonts w:ascii="宋体" w:hAnsi="宋体"/>
          <w:sz w:val="21"/>
          <w:szCs w:val="21"/>
        </w:rPr>
        <w:t xml:space="preserve">      2</w:t>
      </w:r>
      <w:r>
        <w:rPr>
          <w:rFonts w:hint="eastAsia" w:ascii="宋体" w:hAnsi="宋体"/>
          <w:sz w:val="21"/>
          <w:szCs w:val="21"/>
        </w:rPr>
        <w:t>．</w:t>
      </w:r>
      <w:r>
        <w:rPr>
          <w:rFonts w:hint="eastAsia" w:ascii="宋体" w:hAnsi="宋体"/>
          <w:sz w:val="21"/>
          <w:szCs w:val="21"/>
          <w:u w:val="single"/>
        </w:rPr>
        <w:t xml:space="preserve"> 依法律、法规规定的情形而终止                            </w:t>
      </w:r>
      <w:r>
        <w:rPr>
          <w:rFonts w:hint="eastAsia" w:ascii="宋体" w:hAnsi="宋体"/>
          <w:sz w:val="21"/>
          <w:szCs w:val="21"/>
        </w:rPr>
        <w:t>。</w:t>
      </w:r>
    </w:p>
    <w:p>
      <w:pPr>
        <w:spacing w:line="520" w:lineRule="exact"/>
        <w:rPr>
          <w:rFonts w:ascii="宋体" w:hAnsi="宋体"/>
          <w:sz w:val="21"/>
          <w:szCs w:val="21"/>
        </w:rPr>
      </w:pPr>
      <w:r>
        <w:rPr>
          <w:rFonts w:ascii="宋体" w:hAnsi="宋体"/>
          <w:sz w:val="21"/>
          <w:szCs w:val="21"/>
        </w:rPr>
        <w:t xml:space="preserve">    </w:t>
      </w:r>
      <w:r>
        <w:rPr>
          <w:rFonts w:hint="eastAsia" w:ascii="宋体" w:hAnsi="宋体"/>
          <w:sz w:val="21"/>
          <w:szCs w:val="21"/>
        </w:rPr>
        <w:t>第十二条 双方因履行本合同而发生的争议，应协商、调解解决。</w:t>
      </w:r>
    </w:p>
    <w:p>
      <w:pPr>
        <w:spacing w:line="520" w:lineRule="exact"/>
        <w:rPr>
          <w:rFonts w:ascii="宋体" w:hAnsi="宋体"/>
          <w:sz w:val="21"/>
          <w:szCs w:val="21"/>
        </w:rPr>
      </w:pPr>
      <w:r>
        <w:rPr>
          <w:rFonts w:hint="eastAsia" w:ascii="宋体" w:hAnsi="宋体"/>
          <w:sz w:val="21"/>
          <w:szCs w:val="21"/>
        </w:rPr>
        <w:t>协商、调解不成的，确定按以下第</w:t>
      </w:r>
      <w:r>
        <w:rPr>
          <w:rFonts w:ascii="宋体" w:hAnsi="宋体"/>
          <w:sz w:val="21"/>
          <w:szCs w:val="21"/>
          <w:u w:val="single"/>
        </w:rPr>
        <w:t xml:space="preserve">   </w:t>
      </w:r>
      <w:r>
        <w:rPr>
          <w:rFonts w:hint="eastAsia" w:ascii="宋体" w:hAnsi="宋体"/>
          <w:sz w:val="21"/>
          <w:szCs w:val="21"/>
          <w:u w:val="single"/>
        </w:rPr>
        <w:t>1</w:t>
      </w:r>
      <w:r>
        <w:rPr>
          <w:rFonts w:ascii="宋体" w:hAnsi="宋体"/>
          <w:sz w:val="21"/>
          <w:szCs w:val="21"/>
          <w:u w:val="single"/>
        </w:rPr>
        <w:t xml:space="preserve">  </w:t>
      </w:r>
      <w:r>
        <w:rPr>
          <w:rFonts w:hint="eastAsia" w:ascii="宋体" w:hAnsi="宋体"/>
          <w:sz w:val="21"/>
          <w:szCs w:val="21"/>
        </w:rPr>
        <w:t>种方式处理：</w:t>
      </w:r>
    </w:p>
    <w:p>
      <w:pPr>
        <w:spacing w:line="520" w:lineRule="exact"/>
        <w:rPr>
          <w:rFonts w:ascii="宋体" w:hAnsi="宋体"/>
          <w:sz w:val="21"/>
          <w:szCs w:val="21"/>
        </w:rPr>
      </w:pPr>
      <w:r>
        <w:rPr>
          <w:rFonts w:ascii="宋体" w:hAnsi="宋体"/>
          <w:sz w:val="21"/>
          <w:szCs w:val="21"/>
        </w:rPr>
        <w:t xml:space="preserve">     1</w:t>
      </w:r>
      <w:r>
        <w:rPr>
          <w:rFonts w:hint="eastAsia" w:ascii="宋体" w:hAnsi="宋体"/>
          <w:sz w:val="21"/>
          <w:szCs w:val="21"/>
        </w:rPr>
        <w:t>．提交仲裁委员会仲裁；</w:t>
      </w:r>
    </w:p>
    <w:p>
      <w:pPr>
        <w:spacing w:line="520" w:lineRule="exact"/>
        <w:rPr>
          <w:rFonts w:ascii="宋体" w:hAnsi="宋体"/>
          <w:sz w:val="21"/>
          <w:szCs w:val="21"/>
        </w:rPr>
      </w:pPr>
      <w:r>
        <w:rPr>
          <w:rFonts w:ascii="宋体" w:hAnsi="宋体"/>
          <w:sz w:val="21"/>
          <w:szCs w:val="21"/>
        </w:rPr>
        <w:t xml:space="preserve">     </w:t>
      </w:r>
      <w:r>
        <w:rPr>
          <w:rFonts w:hint="eastAsia" w:ascii="宋体" w:hAnsi="宋体"/>
          <w:sz w:val="21"/>
          <w:szCs w:val="21"/>
        </w:rPr>
        <w:t>2．依法向三河市市</w:t>
      </w:r>
      <w:r>
        <w:rPr>
          <w:rFonts w:hint="eastAsia" w:ascii="宋体" w:hAnsi="宋体"/>
          <w:vanish/>
          <w:sz w:val="21"/>
          <w:szCs w:val="21"/>
        </w:rPr>
        <w:t>区</w:t>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vanish/>
          <w:sz w:val="21"/>
          <w:szCs w:val="21"/>
        </w:rPr>
        <w:pgNum/>
      </w:r>
      <w:r>
        <w:rPr>
          <w:rFonts w:hint="eastAsia" w:ascii="宋体" w:hAnsi="宋体"/>
          <w:sz w:val="21"/>
          <w:szCs w:val="21"/>
        </w:rPr>
        <w:t>人民法院起诉。</w:t>
      </w:r>
    </w:p>
    <w:p>
      <w:pPr>
        <w:spacing w:line="520" w:lineRule="exact"/>
        <w:ind w:firstLine="420" w:firstLineChars="200"/>
        <w:rPr>
          <w:rFonts w:ascii="宋体" w:hAnsi="宋体"/>
          <w:sz w:val="21"/>
          <w:szCs w:val="21"/>
        </w:rPr>
      </w:pPr>
      <w:r>
        <w:rPr>
          <w:rFonts w:hint="eastAsia" w:ascii="宋体" w:hAnsi="宋体"/>
          <w:sz w:val="21"/>
          <w:szCs w:val="21"/>
        </w:rPr>
        <w:t>第十三条 双方确定：本合同及相关附件中所涉及的有关名词和技术术语，其定义和解释如下：</w:t>
      </w:r>
    </w:p>
    <w:p>
      <w:pPr>
        <w:spacing w:line="520" w:lineRule="exact"/>
        <w:ind w:firstLine="420" w:firstLineChars="200"/>
        <w:rPr>
          <w:rFonts w:ascii="宋体" w:hAnsi="宋体"/>
          <w:sz w:val="21"/>
          <w:szCs w:val="21"/>
          <w:u w:val="single"/>
        </w:rPr>
      </w:pPr>
      <w:r>
        <w:rPr>
          <w:rFonts w:hint="eastAsia" w:ascii="宋体" w:hAnsi="宋体"/>
          <w:sz w:val="21"/>
          <w:szCs w:val="21"/>
          <w:u w:val="single"/>
        </w:rPr>
        <w:t xml:space="preserve">                                                       </w:t>
      </w:r>
    </w:p>
    <w:p>
      <w:pPr>
        <w:spacing w:line="520" w:lineRule="exact"/>
        <w:ind w:firstLine="420" w:firstLineChars="200"/>
        <w:rPr>
          <w:rFonts w:ascii="宋体" w:hAnsi="宋体"/>
          <w:sz w:val="21"/>
          <w:szCs w:val="21"/>
        </w:rPr>
      </w:pPr>
      <w:r>
        <w:rPr>
          <w:rFonts w:hint="eastAsia" w:ascii="宋体" w:hAnsi="宋体"/>
          <w:sz w:val="21"/>
          <w:szCs w:val="21"/>
        </w:rPr>
        <w:t>第十四条 与履行本合同有关的下列技术文件，经双方以</w:t>
      </w:r>
      <w:r>
        <w:rPr>
          <w:rFonts w:hint="eastAsia" w:ascii="宋体" w:hAnsi="宋体"/>
          <w:sz w:val="21"/>
          <w:szCs w:val="21"/>
          <w:u w:val="single"/>
        </w:rPr>
        <w:t xml:space="preserve">                   </w:t>
      </w:r>
      <w:r>
        <w:rPr>
          <w:rFonts w:hint="eastAsia" w:ascii="宋体" w:hAnsi="宋体"/>
          <w:sz w:val="21"/>
          <w:szCs w:val="21"/>
        </w:rPr>
        <w:t>方式确认后，为本合同的组成部分：</w:t>
      </w:r>
    </w:p>
    <w:p>
      <w:pPr>
        <w:spacing w:line="520" w:lineRule="exact"/>
        <w:ind w:firstLine="420" w:firstLineChars="200"/>
        <w:rPr>
          <w:rFonts w:ascii="宋体" w:hAnsi="宋体"/>
          <w:sz w:val="21"/>
          <w:szCs w:val="21"/>
        </w:rPr>
      </w:pPr>
      <w:r>
        <w:rPr>
          <w:rFonts w:ascii="宋体" w:hAnsi="宋体"/>
          <w:sz w:val="21"/>
          <w:szCs w:val="21"/>
        </w:rPr>
        <w:t>1</w:t>
      </w:r>
      <w:r>
        <w:rPr>
          <w:rFonts w:hint="eastAsia" w:ascii="宋体" w:hAnsi="宋体"/>
          <w:sz w:val="21"/>
          <w:szCs w:val="21"/>
        </w:rPr>
        <w:t>．技术背景资料：</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rPr>
        <w:t>；</w:t>
      </w:r>
    </w:p>
    <w:p>
      <w:pPr>
        <w:spacing w:line="520" w:lineRule="exact"/>
        <w:ind w:firstLine="420" w:firstLineChars="200"/>
        <w:rPr>
          <w:rFonts w:ascii="宋体" w:hAnsi="宋体"/>
          <w:sz w:val="21"/>
          <w:szCs w:val="21"/>
          <w:u w:val="single"/>
        </w:rPr>
      </w:pPr>
      <w:r>
        <w:rPr>
          <w:rFonts w:ascii="宋体" w:hAnsi="宋体"/>
          <w:sz w:val="21"/>
          <w:szCs w:val="21"/>
        </w:rPr>
        <w:t>2</w:t>
      </w:r>
      <w:r>
        <w:rPr>
          <w:rFonts w:hint="eastAsia" w:ascii="宋体" w:hAnsi="宋体"/>
          <w:sz w:val="21"/>
          <w:szCs w:val="21"/>
        </w:rPr>
        <w:t>．可行性论证报告：</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rPr>
        <w:t>；</w:t>
      </w:r>
    </w:p>
    <w:p>
      <w:pPr>
        <w:spacing w:line="520" w:lineRule="exact"/>
        <w:ind w:firstLine="420" w:firstLineChars="200"/>
        <w:rPr>
          <w:rFonts w:ascii="宋体" w:hAnsi="宋体"/>
          <w:sz w:val="21"/>
          <w:szCs w:val="21"/>
          <w:u w:val="single"/>
        </w:rPr>
      </w:pPr>
      <w:r>
        <w:rPr>
          <w:rFonts w:ascii="宋体" w:hAnsi="宋体"/>
          <w:sz w:val="21"/>
          <w:szCs w:val="21"/>
        </w:rPr>
        <w:t>3</w:t>
      </w:r>
      <w:r>
        <w:rPr>
          <w:rFonts w:hint="eastAsia" w:ascii="宋体" w:hAnsi="宋体"/>
          <w:sz w:val="21"/>
          <w:szCs w:val="21"/>
        </w:rPr>
        <w:t>．技术评价报告：</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rPr>
        <w:t>；</w:t>
      </w:r>
    </w:p>
    <w:p>
      <w:pPr>
        <w:spacing w:line="520" w:lineRule="exact"/>
        <w:ind w:firstLine="420" w:firstLineChars="200"/>
        <w:rPr>
          <w:rFonts w:ascii="宋体" w:hAnsi="宋体"/>
          <w:sz w:val="21"/>
          <w:szCs w:val="21"/>
        </w:rPr>
      </w:pPr>
      <w:r>
        <w:rPr>
          <w:rFonts w:ascii="宋体" w:hAnsi="宋体"/>
          <w:sz w:val="21"/>
          <w:szCs w:val="21"/>
        </w:rPr>
        <w:t>4</w:t>
      </w:r>
      <w:r>
        <w:rPr>
          <w:rFonts w:hint="eastAsia" w:ascii="宋体" w:hAnsi="宋体"/>
          <w:sz w:val="21"/>
          <w:szCs w:val="21"/>
        </w:rPr>
        <w:t>．技术标准和规范：</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rPr>
        <w:t>。</w:t>
      </w:r>
    </w:p>
    <w:p>
      <w:pPr>
        <w:spacing w:line="520" w:lineRule="exact"/>
        <w:ind w:firstLine="420" w:firstLineChars="200"/>
        <w:rPr>
          <w:rFonts w:ascii="宋体" w:hAnsi="宋体"/>
          <w:sz w:val="21"/>
          <w:szCs w:val="21"/>
        </w:rPr>
      </w:pPr>
      <w:r>
        <w:rPr>
          <w:rFonts w:hint="eastAsia" w:ascii="宋体" w:hAnsi="宋体"/>
          <w:sz w:val="21"/>
          <w:szCs w:val="21"/>
        </w:rPr>
        <w:t>第十五条 双方约定本合同其他相关事项为：</w:t>
      </w:r>
    </w:p>
    <w:p>
      <w:pPr>
        <w:spacing w:line="520" w:lineRule="exact"/>
        <w:ind w:left="1" w:firstLine="417" w:firstLineChars="199"/>
        <w:rPr>
          <w:rFonts w:ascii="宋体" w:hAnsi="宋体"/>
          <w:sz w:val="21"/>
          <w:szCs w:val="21"/>
        </w:rPr>
      </w:pPr>
      <w:r>
        <w:rPr>
          <w:rFonts w:hint="eastAsia" w:ascii="宋体" w:hAnsi="宋体"/>
          <w:sz w:val="21"/>
          <w:szCs w:val="21"/>
        </w:rPr>
        <w:t>免责条款：</w:t>
      </w:r>
      <w:r>
        <w:rPr>
          <w:rFonts w:hint="eastAsia" w:ascii="宋体" w:hAnsi="宋体"/>
          <w:sz w:val="21"/>
          <w:szCs w:val="21"/>
          <w:u w:val="single"/>
        </w:rPr>
        <w:t xml:space="preserve">由于电力、电信部门施工及国际网管中心等造成的线路故障导致的INTERNET网络事故(应有相关部门证明)。由于病毒等危害乙方网络安全的事件爆发，乙方所采取的应急措施 </w:t>
      </w:r>
      <w:r>
        <w:rPr>
          <w:rFonts w:hint="eastAsia" w:ascii="宋体" w:hAnsi="宋体"/>
          <w:sz w:val="21"/>
          <w:szCs w:val="21"/>
        </w:rPr>
        <w:t>。</w:t>
      </w:r>
    </w:p>
    <w:p>
      <w:pPr>
        <w:spacing w:line="520" w:lineRule="exact"/>
        <w:ind w:firstLine="420" w:firstLineChars="200"/>
        <w:rPr>
          <w:rFonts w:ascii="宋体" w:hAnsi="宋体"/>
          <w:sz w:val="21"/>
          <w:szCs w:val="21"/>
        </w:rPr>
      </w:pPr>
      <w:r>
        <w:rPr>
          <w:rFonts w:hint="eastAsia" w:ascii="宋体" w:hAnsi="宋体"/>
          <w:sz w:val="21"/>
          <w:szCs w:val="21"/>
        </w:rPr>
        <w:t>第十六条 本合同一式</w:t>
      </w:r>
      <w:r>
        <w:rPr>
          <w:rFonts w:ascii="宋体" w:hAnsi="宋体"/>
          <w:sz w:val="21"/>
          <w:szCs w:val="21"/>
          <w:u w:val="single"/>
        </w:rPr>
        <w:t xml:space="preserve"> </w:t>
      </w:r>
      <w:r>
        <w:rPr>
          <w:rFonts w:hint="eastAsia" w:ascii="宋体" w:hAnsi="宋体"/>
          <w:sz w:val="21"/>
          <w:szCs w:val="21"/>
          <w:u w:val="single"/>
        </w:rPr>
        <w:t>4</w:t>
      </w:r>
      <w:r>
        <w:rPr>
          <w:rFonts w:ascii="宋体" w:hAnsi="宋体"/>
          <w:sz w:val="21"/>
          <w:szCs w:val="21"/>
          <w:u w:val="single"/>
        </w:rPr>
        <w:t xml:space="preserve"> </w:t>
      </w:r>
      <w:r>
        <w:rPr>
          <w:rFonts w:hint="eastAsia" w:ascii="宋体" w:hAnsi="宋体"/>
          <w:sz w:val="21"/>
          <w:szCs w:val="21"/>
        </w:rPr>
        <w:t>份，具有同等法律效力。</w:t>
      </w:r>
    </w:p>
    <w:p>
      <w:pPr>
        <w:spacing w:line="520" w:lineRule="exact"/>
        <w:ind w:firstLine="420" w:firstLineChars="200"/>
        <w:rPr>
          <w:rFonts w:ascii="宋体" w:hAnsi="宋体"/>
          <w:sz w:val="21"/>
          <w:szCs w:val="21"/>
        </w:rPr>
      </w:pPr>
      <w:r>
        <w:rPr>
          <w:rFonts w:hint="eastAsia" w:ascii="宋体" w:hAnsi="宋体"/>
          <w:sz w:val="21"/>
          <w:szCs w:val="21"/>
        </w:rPr>
        <w:t>第十七条 本合同经双方签字盖章后生效。</w:t>
      </w:r>
    </w:p>
    <w:p>
      <w:pPr>
        <w:spacing w:line="520" w:lineRule="exact"/>
        <w:rPr>
          <w:rFonts w:ascii="宋体" w:hAnsi="宋体"/>
          <w:sz w:val="21"/>
          <w:szCs w:val="21"/>
        </w:rPr>
      </w:pPr>
    </w:p>
    <w:p>
      <w:pPr>
        <w:spacing w:line="520" w:lineRule="exact"/>
        <w:ind w:firstLine="420" w:firstLineChars="200"/>
        <w:rPr>
          <w:rFonts w:ascii="宋体" w:hAnsi="宋体"/>
          <w:sz w:val="21"/>
          <w:szCs w:val="21"/>
        </w:rPr>
        <w:sectPr>
          <w:type w:val="continuous"/>
          <w:pgSz w:w="11906" w:h="16838"/>
          <w:pgMar w:top="567" w:right="1134" w:bottom="1134" w:left="1417" w:header="567" w:footer="1134" w:gutter="0"/>
          <w:cols w:space="425" w:num="1"/>
          <w:formProt w:val="0"/>
          <w:docGrid w:type="lines" w:linePitch="326" w:charSpace="0"/>
        </w:sectPr>
      </w:pPr>
    </w:p>
    <w:p>
      <w:pPr>
        <w:spacing w:line="720" w:lineRule="auto"/>
        <w:rPr>
          <w:rFonts w:ascii="宋体" w:hAnsi="宋体"/>
          <w:sz w:val="21"/>
          <w:szCs w:val="21"/>
        </w:rPr>
      </w:pPr>
      <w:r>
        <w:rPr>
          <w:rFonts w:hint="eastAsia" w:ascii="宋体" w:hAnsi="宋体"/>
          <w:sz w:val="21"/>
          <w:szCs w:val="21"/>
        </w:rPr>
        <w:t>甲方：</w:t>
      </w:r>
    </w:p>
    <w:p>
      <w:pPr>
        <w:spacing w:line="720" w:lineRule="auto"/>
        <w:rPr>
          <w:rFonts w:ascii="宋体" w:hAnsi="宋体"/>
          <w:sz w:val="21"/>
          <w:szCs w:val="21"/>
          <w:u w:val="single"/>
        </w:rPr>
      </w:pP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rPr>
        <w:t>（盖章）</w:t>
      </w:r>
    </w:p>
    <w:p>
      <w:pPr>
        <w:spacing w:line="720" w:lineRule="auto"/>
        <w:rPr>
          <w:rFonts w:ascii="宋体" w:hAnsi="宋体"/>
          <w:sz w:val="21"/>
          <w:szCs w:val="21"/>
        </w:rPr>
      </w:pPr>
      <w:r>
        <w:rPr>
          <w:rFonts w:hint="eastAsia" w:ascii="宋体" w:hAnsi="宋体"/>
          <w:sz w:val="21"/>
          <w:szCs w:val="21"/>
        </w:rPr>
        <w:t>法定代表人／委托代理人：</w:t>
      </w:r>
    </w:p>
    <w:p>
      <w:pPr>
        <w:spacing w:line="720" w:lineRule="auto"/>
        <w:rPr>
          <w:rFonts w:ascii="宋体" w:hAnsi="宋体"/>
          <w:sz w:val="21"/>
          <w:szCs w:val="21"/>
        </w:rPr>
      </w:pPr>
      <w:r>
        <w:rPr>
          <w:rFonts w:hint="eastAsia" w:ascii="宋体" w:hAnsi="宋体"/>
          <w:sz w:val="21"/>
          <w:szCs w:val="21"/>
          <w:u w:val="single"/>
        </w:rPr>
        <w:t>　　　　</w:t>
      </w:r>
      <w:r>
        <w:rPr>
          <w:rFonts w:ascii="宋体" w:hAnsi="宋体"/>
          <w:sz w:val="21"/>
          <w:szCs w:val="21"/>
          <w:u w:val="single"/>
        </w:rPr>
        <w:t xml:space="preserve">  </w:t>
      </w:r>
      <w:r>
        <w:rPr>
          <w:rFonts w:hint="eastAsia" w:ascii="宋体" w:hAnsi="宋体"/>
          <w:sz w:val="21"/>
          <w:szCs w:val="21"/>
          <w:u w:val="single"/>
        </w:rPr>
        <w:t>　　　</w:t>
      </w:r>
      <w:r>
        <w:rPr>
          <w:rFonts w:ascii="宋体" w:hAnsi="宋体"/>
          <w:sz w:val="21"/>
          <w:szCs w:val="21"/>
          <w:u w:val="single"/>
        </w:rPr>
        <w:t xml:space="preserve">      </w:t>
      </w:r>
      <w:r>
        <w:rPr>
          <w:rFonts w:hint="eastAsia" w:ascii="宋体" w:hAnsi="宋体"/>
          <w:sz w:val="21"/>
          <w:szCs w:val="21"/>
          <w:u w:val="single"/>
        </w:rPr>
        <w:t xml:space="preserve">　       </w:t>
      </w:r>
      <w:r>
        <w:rPr>
          <w:rFonts w:hint="eastAsia" w:ascii="宋体" w:hAnsi="宋体"/>
          <w:sz w:val="21"/>
          <w:szCs w:val="21"/>
        </w:rPr>
        <w:t>（签名）</w:t>
      </w:r>
    </w:p>
    <w:p>
      <w:pPr>
        <w:wordWrap w:val="0"/>
        <w:spacing w:line="720" w:lineRule="auto"/>
        <w:jc w:val="right"/>
        <w:rPr>
          <w:rFonts w:ascii="宋体" w:hAnsi="宋体"/>
          <w:sz w:val="21"/>
          <w:szCs w:val="21"/>
        </w:rPr>
      </w:pPr>
      <w:r>
        <w:rPr>
          <w:rFonts w:ascii="宋体" w:hAnsi="宋体"/>
          <w:sz w:val="21"/>
          <w:szCs w:val="21"/>
        </w:rPr>
        <w:t xml:space="preserve">          </w:t>
      </w:r>
      <w:r>
        <w:rPr>
          <w:rFonts w:hint="eastAsia" w:ascii="宋体" w:hAnsi="宋体"/>
          <w:sz w:val="21"/>
          <w:szCs w:val="21"/>
        </w:rPr>
        <w:t>年</w:t>
      </w:r>
      <w:r>
        <w:rPr>
          <w:rFonts w:ascii="宋体" w:hAnsi="宋体"/>
          <w:sz w:val="21"/>
          <w:szCs w:val="21"/>
        </w:rPr>
        <w:t xml:space="preserve">     </w:t>
      </w:r>
      <w:r>
        <w:rPr>
          <w:rFonts w:hint="eastAsia" w:ascii="宋体" w:hAnsi="宋体"/>
          <w:sz w:val="21"/>
          <w:szCs w:val="21"/>
        </w:rPr>
        <w:t>月</w:t>
      </w:r>
      <w:r>
        <w:rPr>
          <w:rFonts w:ascii="宋体" w:hAnsi="宋体"/>
          <w:sz w:val="21"/>
          <w:szCs w:val="21"/>
        </w:rPr>
        <w:t xml:space="preserve">     </w:t>
      </w:r>
      <w:r>
        <w:rPr>
          <w:rFonts w:hint="eastAsia" w:ascii="宋体" w:hAnsi="宋体"/>
          <w:sz w:val="21"/>
          <w:szCs w:val="21"/>
        </w:rPr>
        <w:t xml:space="preserve">日     </w:t>
      </w:r>
    </w:p>
    <w:p>
      <w:pPr>
        <w:spacing w:line="720" w:lineRule="auto"/>
        <w:rPr>
          <w:rFonts w:ascii="宋体" w:hAnsi="宋体"/>
          <w:sz w:val="21"/>
          <w:szCs w:val="21"/>
        </w:rPr>
      </w:pPr>
      <w:r>
        <w:rPr>
          <w:rFonts w:hint="eastAsia" w:ascii="宋体" w:hAnsi="宋体"/>
          <w:sz w:val="21"/>
          <w:szCs w:val="21"/>
        </w:rPr>
        <w:t>乙方：</w:t>
      </w:r>
    </w:p>
    <w:p>
      <w:pPr>
        <w:spacing w:line="720" w:lineRule="auto"/>
        <w:rPr>
          <w:rFonts w:ascii="宋体" w:hAnsi="宋体"/>
          <w:sz w:val="21"/>
          <w:szCs w:val="21"/>
          <w:u w:val="single"/>
        </w:rPr>
      </w:pP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rPr>
        <w:t>（盖章）</w:t>
      </w:r>
    </w:p>
    <w:p>
      <w:pPr>
        <w:spacing w:line="720" w:lineRule="auto"/>
        <w:rPr>
          <w:rFonts w:ascii="宋体" w:hAnsi="宋体"/>
          <w:sz w:val="21"/>
          <w:szCs w:val="21"/>
        </w:rPr>
      </w:pPr>
      <w:r>
        <w:rPr>
          <w:rFonts w:hint="eastAsia" w:ascii="宋体" w:hAnsi="宋体"/>
          <w:sz w:val="21"/>
          <w:szCs w:val="21"/>
        </w:rPr>
        <w:t>法定代表人／委托代理人：</w:t>
      </w:r>
    </w:p>
    <w:p>
      <w:pPr>
        <w:spacing w:line="720" w:lineRule="auto"/>
        <w:rPr>
          <w:rFonts w:ascii="宋体" w:hAnsi="宋体"/>
          <w:sz w:val="21"/>
          <w:szCs w:val="21"/>
        </w:rPr>
      </w:pPr>
      <w:r>
        <w:rPr>
          <w:rFonts w:hint="eastAsia" w:ascii="宋体" w:hAnsi="宋体"/>
          <w:sz w:val="21"/>
          <w:szCs w:val="21"/>
          <w:u w:val="single"/>
        </w:rPr>
        <w:t>　　　　</w:t>
      </w:r>
      <w:r>
        <w:rPr>
          <w:rFonts w:ascii="宋体" w:hAnsi="宋体"/>
          <w:sz w:val="21"/>
          <w:szCs w:val="21"/>
          <w:u w:val="single"/>
        </w:rPr>
        <w:t xml:space="preserve">  </w:t>
      </w:r>
      <w:r>
        <w:rPr>
          <w:rFonts w:hint="eastAsia" w:ascii="宋体" w:hAnsi="宋体"/>
          <w:sz w:val="21"/>
          <w:szCs w:val="21"/>
          <w:u w:val="single"/>
        </w:rPr>
        <w:t>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w:t>
      </w:r>
      <w:r>
        <w:rPr>
          <w:rFonts w:hint="eastAsia" w:ascii="宋体" w:hAnsi="宋体"/>
          <w:sz w:val="21"/>
          <w:szCs w:val="21"/>
        </w:rPr>
        <w:t>（签名）</w:t>
      </w:r>
    </w:p>
    <w:p>
      <w:pPr>
        <w:wordWrap w:val="0"/>
        <w:spacing w:line="720" w:lineRule="auto"/>
        <w:jc w:val="right"/>
        <w:rPr>
          <w:rFonts w:ascii="宋体" w:hAnsi="宋体"/>
          <w:sz w:val="21"/>
          <w:szCs w:val="21"/>
        </w:rPr>
        <w:sectPr>
          <w:type w:val="continuous"/>
          <w:pgSz w:w="11906" w:h="16838"/>
          <w:pgMar w:top="567" w:right="1134" w:bottom="1134" w:left="1417" w:header="1418" w:footer="1134" w:gutter="0"/>
          <w:cols w:space="425" w:num="2"/>
          <w:formProt w:val="0"/>
          <w:docGrid w:type="lines" w:linePitch="312" w:charSpace="0"/>
        </w:sectPr>
      </w:pPr>
      <w:r>
        <w:rPr>
          <w:rFonts w:hint="eastAsia" w:ascii="宋体" w:hAnsi="宋体"/>
          <w:sz w:val="21"/>
          <w:szCs w:val="21"/>
        </w:rPr>
        <w:t>年</w:t>
      </w:r>
      <w:r>
        <w:rPr>
          <w:rFonts w:ascii="宋体" w:hAnsi="宋体"/>
          <w:sz w:val="21"/>
          <w:szCs w:val="21"/>
        </w:rPr>
        <w:t xml:space="preserve">     </w:t>
      </w:r>
      <w:r>
        <w:rPr>
          <w:rFonts w:hint="eastAsia" w:ascii="宋体" w:hAnsi="宋体"/>
          <w:sz w:val="21"/>
          <w:szCs w:val="21"/>
        </w:rPr>
        <w:t>月</w:t>
      </w:r>
      <w:r>
        <w:rPr>
          <w:rFonts w:ascii="宋体" w:hAnsi="宋体"/>
          <w:sz w:val="21"/>
          <w:szCs w:val="21"/>
        </w:rPr>
        <w:t xml:space="preserve">   </w:t>
      </w:r>
      <w:r>
        <w:rPr>
          <w:rFonts w:ascii="宋体" w:hAnsi="宋体"/>
          <w:sz w:val="28"/>
        </w:rPr>
        <w:t xml:space="preserve">  </w:t>
      </w:r>
      <w:r>
        <w:rPr>
          <w:rFonts w:hint="eastAsia" w:ascii="宋体" w:hAnsi="宋体"/>
          <w:sz w:val="21"/>
          <w:szCs w:val="21"/>
        </w:rPr>
        <w:t xml:space="preserve">日     </w:t>
      </w:r>
    </w:p>
    <w:p>
      <w:pPr>
        <w:rPr>
          <w:rFonts w:ascii="宋体" w:hAnsi="宋体"/>
          <w:sz w:val="21"/>
          <w:szCs w:val="21"/>
        </w:rPr>
      </w:pPr>
    </w:p>
    <w:p>
      <w:pPr>
        <w:adjustRightInd/>
        <w:spacing w:line="240" w:lineRule="auto"/>
        <w:jc w:val="both"/>
        <w:textAlignment w:val="auto"/>
        <w:rPr>
          <w:rFonts w:ascii="宋体" w:hAnsi="宋体"/>
          <w:sz w:val="21"/>
          <w:szCs w:val="21"/>
        </w:rPr>
      </w:pPr>
    </w:p>
    <w:p>
      <w:pPr>
        <w:rPr>
          <w:rFonts w:ascii="宋体" w:hAnsi="宋体"/>
          <w:sz w:val="21"/>
          <w:szCs w:val="21"/>
        </w:rPr>
      </w:pPr>
      <w:r>
        <w:rPr>
          <w:rFonts w:ascii="宋体" w:hAnsi="宋体"/>
          <w:sz w:val="21"/>
          <w:szCs w:val="21"/>
        </w:rPr>
        <w:br w:type="page"/>
      </w:r>
    </w:p>
    <w:p>
      <w:pPr>
        <w:pStyle w:val="77"/>
        <w:numPr>
          <w:ilvl w:val="0"/>
          <w:numId w:val="0"/>
        </w:numPr>
        <w:ind w:left="288"/>
      </w:pPr>
      <w:bookmarkStart w:id="104" w:name="_Toc87373408"/>
      <w:bookmarkStart w:id="105" w:name="_Toc87373508"/>
      <w:bookmarkStart w:id="106" w:name="_Toc87810261"/>
      <w:bookmarkStart w:id="107" w:name="_Toc99718160"/>
      <w:bookmarkStart w:id="108" w:name="_Toc99881778"/>
      <w:bookmarkStart w:id="109" w:name="_Toc522963612"/>
      <w:r>
        <w:rPr>
          <w:rFonts w:hint="eastAsia"/>
        </w:rPr>
        <w:t xml:space="preserve">第七部分  </w:t>
      </w:r>
      <w:bookmarkStart w:id="110" w:name="_Toc86202632"/>
      <w:r>
        <w:rPr>
          <w:rFonts w:hint="eastAsia"/>
        </w:rPr>
        <w:t>采购文件格式</w:t>
      </w:r>
      <w:bookmarkEnd w:id="104"/>
      <w:bookmarkEnd w:id="105"/>
      <w:bookmarkEnd w:id="106"/>
      <w:bookmarkEnd w:id="107"/>
      <w:bookmarkEnd w:id="108"/>
      <w:bookmarkEnd w:id="109"/>
      <w:bookmarkEnd w:id="110"/>
    </w:p>
    <w:p>
      <w:pPr>
        <w:pStyle w:val="125"/>
        <w:numPr>
          <w:ilvl w:val="0"/>
          <w:numId w:val="0"/>
        </w:numPr>
        <w:spacing w:line="400" w:lineRule="exact"/>
        <w:rPr>
          <w:color w:val="auto"/>
        </w:rPr>
      </w:pPr>
      <w:bookmarkStart w:id="111" w:name="_Toc86202633"/>
      <w:bookmarkStart w:id="112" w:name="_Toc87373409"/>
      <w:bookmarkStart w:id="113" w:name="_Toc87373509"/>
      <w:bookmarkStart w:id="114" w:name="_Toc87810262"/>
      <w:bookmarkStart w:id="115" w:name="_Toc99718161"/>
      <w:bookmarkStart w:id="116" w:name="_Toc99881779"/>
      <w:bookmarkStart w:id="117" w:name="_Toc116879976"/>
      <w:r>
        <w:rPr>
          <w:rFonts w:hint="eastAsia"/>
          <w:color w:val="auto"/>
        </w:rPr>
        <w:t>服务供应商提交文件须知</w:t>
      </w:r>
      <w:bookmarkEnd w:id="111"/>
      <w:bookmarkEnd w:id="112"/>
      <w:bookmarkEnd w:id="113"/>
      <w:bookmarkEnd w:id="114"/>
      <w:bookmarkEnd w:id="115"/>
      <w:bookmarkEnd w:id="116"/>
      <w:bookmarkEnd w:id="117"/>
    </w:p>
    <w:p>
      <w:pPr>
        <w:pStyle w:val="102"/>
        <w:numPr>
          <w:ilvl w:val="0"/>
          <w:numId w:val="25"/>
        </w:numPr>
        <w:tabs>
          <w:tab w:val="clear" w:pos="709"/>
        </w:tabs>
        <w:spacing w:line="400" w:lineRule="exact"/>
        <w:ind w:left="426" w:hanging="426"/>
      </w:pPr>
      <w:r>
        <w:rPr>
          <w:rFonts w:hint="eastAsia"/>
        </w:rPr>
        <w:t xml:space="preserve">   服务供应商应严格按照以下顺序填写和提交下述规定的全部格式文件以及其他有关资料，混乱的编排导致采购文件被误读或查找不到，后果由服务供应商承担。</w:t>
      </w:r>
    </w:p>
    <w:p>
      <w:pPr>
        <w:pStyle w:val="102"/>
        <w:tabs>
          <w:tab w:val="clear" w:pos="709"/>
        </w:tabs>
        <w:spacing w:line="400" w:lineRule="exact"/>
      </w:pPr>
      <w:r>
        <w:rPr>
          <w:rFonts w:hint="eastAsia"/>
        </w:rPr>
        <w:t>所附表格中要求回答的全部问题和信息都必须正面回答。</w:t>
      </w:r>
    </w:p>
    <w:p>
      <w:pPr>
        <w:pStyle w:val="102"/>
        <w:tabs>
          <w:tab w:val="clear" w:pos="709"/>
        </w:tabs>
        <w:spacing w:line="400" w:lineRule="exact"/>
      </w:pPr>
      <w:r>
        <w:rPr>
          <w:rFonts w:hint="eastAsia"/>
        </w:rPr>
        <w:t>本资格声明的签字人应保证全部声明和问题的回答是真实的和准确的。</w:t>
      </w:r>
    </w:p>
    <w:p>
      <w:pPr>
        <w:pStyle w:val="102"/>
        <w:tabs>
          <w:tab w:val="clear" w:pos="709"/>
        </w:tabs>
        <w:spacing w:line="400" w:lineRule="exact"/>
      </w:pPr>
      <w:r>
        <w:rPr>
          <w:rFonts w:hint="eastAsia"/>
        </w:rPr>
        <w:t>评标委员会将应用服务供应商提交的资料并根据自己的判断，决定服务供应商履行合同的合格性及能力。</w:t>
      </w:r>
    </w:p>
    <w:p>
      <w:pPr>
        <w:pStyle w:val="102"/>
        <w:tabs>
          <w:tab w:val="clear" w:pos="709"/>
        </w:tabs>
        <w:spacing w:line="400" w:lineRule="exact"/>
      </w:pPr>
      <w:r>
        <w:rPr>
          <w:rFonts w:hint="eastAsia"/>
        </w:rPr>
        <w:t>服务供应商提交的材料将被保密保存，但不退还。</w:t>
      </w:r>
    </w:p>
    <w:p>
      <w:pPr>
        <w:pStyle w:val="102"/>
        <w:tabs>
          <w:tab w:val="clear" w:pos="709"/>
        </w:tabs>
        <w:spacing w:line="400" w:lineRule="exact"/>
      </w:pPr>
      <w:r>
        <w:rPr>
          <w:rFonts w:hint="eastAsia"/>
        </w:rPr>
        <w:t>全部文件应按服务供应商须知中规定的语言和份数提交。</w:t>
      </w:r>
    </w:p>
    <w:p>
      <w:pPr>
        <w:widowControl/>
        <w:adjustRightInd/>
        <w:spacing w:line="240" w:lineRule="auto"/>
        <w:textAlignment w:val="auto"/>
        <w:rPr>
          <w:rFonts w:ascii="宋体" w:hAnsi="宋体"/>
          <w:sz w:val="21"/>
          <w:szCs w:val="21"/>
        </w:rPr>
      </w:pPr>
      <w:r>
        <w:br w:type="page"/>
      </w:r>
    </w:p>
    <w:p>
      <w:pPr>
        <w:pStyle w:val="125"/>
        <w:numPr>
          <w:ilvl w:val="0"/>
          <w:numId w:val="0"/>
        </w:numPr>
        <w:ind w:left="450"/>
        <w:jc w:val="center"/>
        <w:rPr>
          <w:color w:val="auto"/>
          <w:sz w:val="28"/>
          <w:szCs w:val="28"/>
        </w:rPr>
      </w:pPr>
      <w:bookmarkStart w:id="118" w:name="_Toc86202634"/>
      <w:bookmarkStart w:id="119" w:name="_Toc87373410"/>
      <w:bookmarkStart w:id="120" w:name="_Toc87373510"/>
      <w:bookmarkStart w:id="121" w:name="_Toc87810263"/>
      <w:bookmarkStart w:id="122" w:name="_Toc99718162"/>
      <w:bookmarkStart w:id="123" w:name="_Toc99881780"/>
      <w:bookmarkStart w:id="124" w:name="_Toc116879977"/>
      <w:bookmarkStart w:id="125" w:name="_Toc87373433"/>
      <w:bookmarkStart w:id="126" w:name="_Toc87373533"/>
      <w:bookmarkStart w:id="127" w:name="_Toc87810289"/>
      <w:bookmarkStart w:id="128" w:name="_Toc99718188"/>
      <w:bookmarkStart w:id="129" w:name="_Toc99881806"/>
      <w:bookmarkStart w:id="130" w:name="_Toc116880003"/>
      <w:r>
        <w:rPr>
          <w:rFonts w:hint="eastAsia"/>
          <w:color w:val="auto"/>
          <w:sz w:val="28"/>
          <w:szCs w:val="28"/>
        </w:rPr>
        <w:t>商务部分</w:t>
      </w:r>
    </w:p>
    <w:p>
      <w:pPr>
        <w:pStyle w:val="125"/>
        <w:numPr>
          <w:ilvl w:val="0"/>
          <w:numId w:val="26"/>
        </w:numPr>
        <w:rPr>
          <w:color w:val="auto"/>
        </w:rPr>
      </w:pPr>
      <w:r>
        <w:rPr>
          <w:rFonts w:hint="eastAsia"/>
          <w:color w:val="auto"/>
        </w:rPr>
        <w:t>投标函</w:t>
      </w:r>
      <w:bookmarkEnd w:id="118"/>
      <w:bookmarkEnd w:id="119"/>
      <w:bookmarkEnd w:id="120"/>
      <w:bookmarkEnd w:id="121"/>
      <w:bookmarkEnd w:id="122"/>
      <w:bookmarkEnd w:id="123"/>
      <w:bookmarkEnd w:id="124"/>
    </w:p>
    <w:p>
      <w:pPr>
        <w:spacing w:line="240" w:lineRule="auto"/>
        <w:rPr>
          <w:rFonts w:ascii="宋体" w:hAnsi="宋体"/>
          <w:sz w:val="21"/>
          <w:szCs w:val="21"/>
        </w:rPr>
      </w:pPr>
      <w:r>
        <w:rPr>
          <w:rFonts w:hint="eastAsia" w:ascii="宋体" w:hAnsi="宋体"/>
          <w:sz w:val="21"/>
          <w:szCs w:val="21"/>
        </w:rPr>
        <w:t xml:space="preserve">     </w:t>
      </w:r>
    </w:p>
    <w:p>
      <w:pPr>
        <w:spacing w:line="240" w:lineRule="auto"/>
        <w:rPr>
          <w:rFonts w:ascii="宋体" w:hAnsi="宋体"/>
          <w:sz w:val="21"/>
          <w:szCs w:val="21"/>
        </w:rPr>
      </w:pPr>
      <w:r>
        <w:rPr>
          <w:rFonts w:hint="eastAsia" w:ascii="宋体" w:hAnsi="宋体"/>
          <w:sz w:val="21"/>
          <w:szCs w:val="21"/>
          <w:u w:val="single"/>
        </w:rPr>
        <w:t>防灾科技学院</w:t>
      </w:r>
      <w:r>
        <w:rPr>
          <w:rFonts w:hint="eastAsia" w:ascii="宋体" w:hAnsi="宋体"/>
          <w:sz w:val="21"/>
          <w:szCs w:val="21"/>
        </w:rPr>
        <w:t>：</w:t>
      </w:r>
    </w:p>
    <w:p>
      <w:pPr>
        <w:spacing w:line="240" w:lineRule="auto"/>
        <w:rPr>
          <w:rFonts w:ascii="宋体" w:hAnsi="宋体"/>
          <w:sz w:val="21"/>
          <w:szCs w:val="21"/>
        </w:rPr>
      </w:pPr>
      <w:r>
        <w:rPr>
          <w:rFonts w:hint="eastAsia" w:ascii="宋体" w:hAnsi="宋体"/>
          <w:sz w:val="21"/>
          <w:szCs w:val="21"/>
        </w:rPr>
        <w:t xml:space="preserve">    </w:t>
      </w:r>
      <w:r>
        <w:rPr>
          <w:rFonts w:hint="eastAsia" w:ascii="宋体" w:hAnsi="宋体"/>
          <w:sz w:val="21"/>
          <w:szCs w:val="21"/>
          <w:u w:val="single"/>
        </w:rPr>
        <w:t xml:space="preserve">                      </w:t>
      </w:r>
      <w:r>
        <w:rPr>
          <w:rFonts w:hint="eastAsia" w:ascii="宋体" w:hAnsi="宋体"/>
          <w:sz w:val="21"/>
          <w:szCs w:val="21"/>
        </w:rPr>
        <w:t>(服务供应商全称)授权</w:t>
      </w:r>
      <w:r>
        <w:rPr>
          <w:rFonts w:hint="eastAsia" w:ascii="宋体" w:hAnsi="宋体"/>
          <w:sz w:val="21"/>
          <w:szCs w:val="21"/>
          <w:u w:val="single"/>
        </w:rPr>
        <w:t xml:space="preserve">          </w:t>
      </w:r>
      <w:r>
        <w:rPr>
          <w:rFonts w:hint="eastAsia" w:ascii="宋体" w:hAnsi="宋体"/>
          <w:sz w:val="21"/>
          <w:szCs w:val="21"/>
        </w:rPr>
        <w:t>(服务供应商代表姓名)</w:t>
      </w:r>
      <w:r>
        <w:rPr>
          <w:rFonts w:hint="eastAsia" w:ascii="宋体" w:hAnsi="宋体"/>
          <w:sz w:val="21"/>
          <w:szCs w:val="21"/>
          <w:u w:val="single"/>
        </w:rPr>
        <w:t xml:space="preserve">            </w:t>
      </w:r>
      <w:r>
        <w:rPr>
          <w:rFonts w:hint="eastAsia" w:ascii="宋体" w:hAnsi="宋体"/>
          <w:sz w:val="21"/>
          <w:szCs w:val="21"/>
        </w:rPr>
        <w:t>(职务、职称)为我方代表，参加贵方组织的</w:t>
      </w:r>
      <w:r>
        <w:rPr>
          <w:rFonts w:hint="eastAsia" w:ascii="宋体" w:hAnsi="宋体"/>
          <w:sz w:val="21"/>
          <w:szCs w:val="21"/>
          <w:u w:val="single"/>
        </w:rPr>
        <w:t xml:space="preserve">                    </w:t>
      </w:r>
      <w:r>
        <w:rPr>
          <w:rFonts w:hint="eastAsia" w:ascii="宋体" w:hAnsi="宋体"/>
          <w:sz w:val="21"/>
          <w:szCs w:val="21"/>
        </w:rPr>
        <w:t>(项目名称、项目编号、包号)采购的有关活动，并对此项目进行投标。为此：</w:t>
      </w:r>
    </w:p>
    <w:p>
      <w:pPr>
        <w:pStyle w:val="102"/>
        <w:numPr>
          <w:ilvl w:val="0"/>
          <w:numId w:val="27"/>
        </w:numPr>
      </w:pPr>
      <w:r>
        <w:rPr>
          <w:rFonts w:hint="eastAsia"/>
        </w:rPr>
        <w:t>我方同意在本项目采购文件中规定的开标日起</w:t>
      </w:r>
      <w:r>
        <w:rPr>
          <w:rFonts w:hint="eastAsia"/>
          <w:u w:val="single"/>
        </w:rPr>
        <w:t>180天内</w:t>
      </w:r>
      <w:r>
        <w:rPr>
          <w:rFonts w:hint="eastAsia"/>
        </w:rPr>
        <w:t>遵守本采购文件中的承诺且在此期限期满之前均具有约束力。</w:t>
      </w:r>
    </w:p>
    <w:p>
      <w:pPr>
        <w:pStyle w:val="102"/>
        <w:numPr>
          <w:ilvl w:val="0"/>
          <w:numId w:val="27"/>
        </w:numPr>
      </w:pPr>
      <w:r>
        <w:rPr>
          <w:rFonts w:hint="eastAsia"/>
        </w:rPr>
        <w:t>我方承诺已经具备《中华人民共和国政府采购法》中规定的参加政府采购活动的供应商应当具备的条件：</w:t>
      </w:r>
    </w:p>
    <w:p>
      <w:pPr>
        <w:numPr>
          <w:ilvl w:val="1"/>
          <w:numId w:val="27"/>
        </w:numPr>
        <w:spacing w:line="240" w:lineRule="auto"/>
        <w:rPr>
          <w:rFonts w:ascii="宋体" w:hAnsi="宋体"/>
          <w:sz w:val="21"/>
          <w:szCs w:val="21"/>
        </w:rPr>
      </w:pPr>
      <w:r>
        <w:rPr>
          <w:rFonts w:hint="eastAsia" w:ascii="宋体" w:hAnsi="宋体"/>
          <w:sz w:val="21"/>
          <w:szCs w:val="21"/>
        </w:rPr>
        <w:t>具有独立承担民事责任的能力；</w:t>
      </w:r>
    </w:p>
    <w:p>
      <w:pPr>
        <w:numPr>
          <w:ilvl w:val="1"/>
          <w:numId w:val="27"/>
        </w:numPr>
        <w:spacing w:line="240" w:lineRule="auto"/>
        <w:rPr>
          <w:rFonts w:ascii="宋体" w:hAnsi="宋体"/>
          <w:sz w:val="21"/>
          <w:szCs w:val="21"/>
        </w:rPr>
      </w:pPr>
      <w:r>
        <w:rPr>
          <w:rFonts w:hint="eastAsia" w:ascii="宋体" w:hAnsi="宋体"/>
          <w:sz w:val="21"/>
          <w:szCs w:val="21"/>
        </w:rPr>
        <w:t>具有良好的商业信誉和健全的财务会计制度；</w:t>
      </w:r>
    </w:p>
    <w:p>
      <w:pPr>
        <w:numPr>
          <w:ilvl w:val="1"/>
          <w:numId w:val="27"/>
        </w:numPr>
        <w:spacing w:line="240" w:lineRule="auto"/>
        <w:rPr>
          <w:rFonts w:ascii="宋体" w:hAnsi="宋体"/>
          <w:sz w:val="21"/>
          <w:szCs w:val="21"/>
        </w:rPr>
      </w:pPr>
      <w:r>
        <w:rPr>
          <w:rFonts w:hint="eastAsia" w:ascii="宋体" w:hAnsi="宋体"/>
          <w:sz w:val="21"/>
          <w:szCs w:val="21"/>
        </w:rPr>
        <w:t>具有履行合同所必需的设备和专业技术能力；</w:t>
      </w:r>
    </w:p>
    <w:p>
      <w:pPr>
        <w:numPr>
          <w:ilvl w:val="1"/>
          <w:numId w:val="27"/>
        </w:numPr>
        <w:spacing w:line="240" w:lineRule="auto"/>
        <w:rPr>
          <w:rFonts w:ascii="宋体" w:hAnsi="宋体"/>
          <w:sz w:val="21"/>
          <w:szCs w:val="21"/>
        </w:rPr>
      </w:pPr>
      <w:r>
        <w:rPr>
          <w:rFonts w:hint="eastAsia" w:ascii="宋体" w:hAnsi="宋体"/>
          <w:sz w:val="21"/>
          <w:szCs w:val="21"/>
        </w:rPr>
        <w:t>有依法缴纳税收和社会保障资金的良好记录；</w:t>
      </w:r>
    </w:p>
    <w:p>
      <w:pPr>
        <w:numPr>
          <w:ilvl w:val="1"/>
          <w:numId w:val="27"/>
        </w:numPr>
        <w:spacing w:line="240" w:lineRule="auto"/>
        <w:rPr>
          <w:rFonts w:ascii="宋体" w:hAnsi="宋体"/>
          <w:sz w:val="21"/>
          <w:szCs w:val="21"/>
        </w:rPr>
      </w:pPr>
      <w:r>
        <w:rPr>
          <w:rFonts w:hint="eastAsia" w:ascii="宋体" w:hAnsi="宋体"/>
          <w:sz w:val="21"/>
          <w:szCs w:val="21"/>
        </w:rPr>
        <w:t>参加此项采购活动前三年内，在经营活动中没有重大违法记录。</w:t>
      </w:r>
    </w:p>
    <w:p>
      <w:pPr>
        <w:pStyle w:val="102"/>
        <w:numPr>
          <w:ilvl w:val="0"/>
          <w:numId w:val="27"/>
        </w:numPr>
      </w:pPr>
      <w:r>
        <w:rPr>
          <w:rFonts w:hint="eastAsia"/>
        </w:rPr>
        <w:t>提供投标须知规定的全部采购文件，包括</w:t>
      </w:r>
      <w:r>
        <w:rPr>
          <w:rFonts w:hint="eastAsia"/>
          <w:u w:val="single"/>
        </w:rPr>
        <w:t>采购文件正本    份，副本    份，电子文档    份，开标一览表正本     份</w:t>
      </w:r>
      <w:r>
        <w:rPr>
          <w:rFonts w:hint="eastAsia"/>
        </w:rPr>
        <w:t>。</w:t>
      </w:r>
    </w:p>
    <w:p>
      <w:pPr>
        <w:pStyle w:val="102"/>
        <w:numPr>
          <w:ilvl w:val="0"/>
          <w:numId w:val="27"/>
        </w:numPr>
      </w:pPr>
      <w:r>
        <w:rPr>
          <w:rFonts w:hint="eastAsia"/>
        </w:rPr>
        <w:t>按采购文件要求提供和交付的货物和服务的投标报价详见开标一览表。</w:t>
      </w:r>
    </w:p>
    <w:p>
      <w:pPr>
        <w:pStyle w:val="102"/>
        <w:numPr>
          <w:ilvl w:val="0"/>
          <w:numId w:val="27"/>
        </w:numPr>
        <w:tabs>
          <w:tab w:val="left" w:pos="1680"/>
        </w:tabs>
      </w:pPr>
      <w:r>
        <w:rPr>
          <w:rFonts w:hint="eastAsia"/>
        </w:rPr>
        <w:t>保证忠实地执行双方所签订的合同，并承担合同规定的责任和义务。</w:t>
      </w:r>
    </w:p>
    <w:p>
      <w:pPr>
        <w:pStyle w:val="102"/>
        <w:numPr>
          <w:ilvl w:val="0"/>
          <w:numId w:val="27"/>
        </w:numPr>
      </w:pPr>
      <w:r>
        <w:rPr>
          <w:rFonts w:hint="eastAsia"/>
        </w:rPr>
        <w:t>保证遵守采购文件的规定。</w:t>
      </w:r>
    </w:p>
    <w:p>
      <w:pPr>
        <w:pStyle w:val="102"/>
        <w:numPr>
          <w:ilvl w:val="0"/>
          <w:numId w:val="27"/>
        </w:numPr>
      </w:pPr>
      <w:r>
        <w:rPr>
          <w:rFonts w:hint="eastAsia"/>
        </w:rPr>
        <w:t>如果在开标后规定的投标有效期内撤回投标，我方的投标保证金可被贵方没收。</w:t>
      </w:r>
    </w:p>
    <w:p>
      <w:pPr>
        <w:pStyle w:val="102"/>
        <w:numPr>
          <w:ilvl w:val="0"/>
          <w:numId w:val="27"/>
        </w:numPr>
      </w:pPr>
      <w:r>
        <w:rPr>
          <w:rFonts w:hint="eastAsia"/>
        </w:rPr>
        <w:t>我方完全理解贵方不一定接受最低价的投标或收到的任何投标。</w:t>
      </w:r>
    </w:p>
    <w:p>
      <w:pPr>
        <w:pStyle w:val="102"/>
        <w:numPr>
          <w:ilvl w:val="0"/>
          <w:numId w:val="27"/>
        </w:numPr>
      </w:pPr>
      <w:r>
        <w:rPr>
          <w:rFonts w:hint="eastAsia"/>
        </w:rPr>
        <w:t>我方愿意向贵方提供任何与本项投标有关的数据、情况和技术资料。若贵方需要，我方愿意提供我方作出的一切承诺的证明材料。</w:t>
      </w:r>
    </w:p>
    <w:p>
      <w:pPr>
        <w:pStyle w:val="102"/>
        <w:numPr>
          <w:ilvl w:val="0"/>
          <w:numId w:val="27"/>
        </w:numPr>
      </w:pPr>
      <w:r>
        <w:rPr>
          <w:rFonts w:hint="eastAsia"/>
        </w:rPr>
        <w:t>我方已详细审核全部采购文件，包括采购文件修改书（如有）、参考资料及有关附件，确认无误。</w:t>
      </w:r>
    </w:p>
    <w:p>
      <w:pPr>
        <w:pStyle w:val="102"/>
        <w:numPr>
          <w:ilvl w:val="0"/>
          <w:numId w:val="27"/>
        </w:numPr>
      </w:pPr>
      <w:r>
        <w:rPr>
          <w:rFonts w:hint="eastAsia"/>
        </w:rPr>
        <w:t>我方承诺：采购人若需追加采购本项目采购文件所列货物及相关服务的，在不改变合同其他实质性条款的前提下，按相同或更优惠的折扣率保证供货。</w:t>
      </w:r>
    </w:p>
    <w:p>
      <w:pPr>
        <w:pStyle w:val="102"/>
        <w:numPr>
          <w:ilvl w:val="0"/>
          <w:numId w:val="27"/>
        </w:numPr>
      </w:pPr>
      <w:r>
        <w:rPr>
          <w:rFonts w:hint="eastAsia"/>
        </w:rPr>
        <w:t>我方承诺对采购文件的全部条款无异议，接受采购文件中《中标合同》的全部条款且无任何异议。</w:t>
      </w:r>
    </w:p>
    <w:p>
      <w:pPr>
        <w:pStyle w:val="102"/>
        <w:numPr>
          <w:ilvl w:val="0"/>
          <w:numId w:val="27"/>
        </w:numPr>
      </w:pPr>
      <w:r>
        <w:rPr>
          <w:rFonts w:hint="eastAsia"/>
        </w:rPr>
        <w:t>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28"/>
        </w:numPr>
        <w:spacing w:line="240" w:lineRule="auto"/>
        <w:ind w:left="360" w:leftChars="150"/>
        <w:rPr>
          <w:rFonts w:ascii="宋体" w:hAnsi="宋体"/>
          <w:sz w:val="21"/>
          <w:szCs w:val="21"/>
        </w:rPr>
      </w:pPr>
      <w:r>
        <w:rPr>
          <w:rFonts w:hint="eastAsia" w:ascii="宋体" w:hAnsi="宋体"/>
          <w:sz w:val="21"/>
          <w:szCs w:val="21"/>
        </w:rPr>
        <w:t>提供虚假材料谋取中标、成交的；</w:t>
      </w:r>
    </w:p>
    <w:p>
      <w:pPr>
        <w:numPr>
          <w:ilvl w:val="0"/>
          <w:numId w:val="28"/>
        </w:numPr>
        <w:spacing w:line="240" w:lineRule="auto"/>
        <w:ind w:left="360" w:leftChars="150"/>
        <w:rPr>
          <w:rFonts w:ascii="宋体" w:hAnsi="宋体"/>
          <w:sz w:val="21"/>
          <w:szCs w:val="21"/>
        </w:rPr>
      </w:pPr>
      <w:r>
        <w:rPr>
          <w:rFonts w:hint="eastAsia" w:ascii="宋体" w:hAnsi="宋体"/>
          <w:sz w:val="21"/>
          <w:szCs w:val="21"/>
        </w:rPr>
        <w:t>采取不正当手段诋毁、排挤其他供应商的；</w:t>
      </w:r>
    </w:p>
    <w:p>
      <w:pPr>
        <w:numPr>
          <w:ilvl w:val="0"/>
          <w:numId w:val="28"/>
        </w:numPr>
        <w:spacing w:line="240" w:lineRule="auto"/>
        <w:ind w:left="360" w:leftChars="150"/>
        <w:rPr>
          <w:rFonts w:ascii="宋体" w:hAnsi="宋体"/>
          <w:sz w:val="21"/>
          <w:szCs w:val="21"/>
        </w:rPr>
      </w:pPr>
      <w:r>
        <w:rPr>
          <w:rFonts w:hint="eastAsia" w:ascii="宋体" w:hAnsi="宋体"/>
          <w:sz w:val="21"/>
          <w:szCs w:val="21"/>
        </w:rPr>
        <w:t>与采购人、其它供应商或者采购代理工作人员恶意串通的；</w:t>
      </w:r>
    </w:p>
    <w:p>
      <w:pPr>
        <w:numPr>
          <w:ilvl w:val="0"/>
          <w:numId w:val="28"/>
        </w:numPr>
        <w:spacing w:line="240" w:lineRule="auto"/>
        <w:ind w:left="360" w:leftChars="150"/>
        <w:rPr>
          <w:rFonts w:ascii="宋体" w:hAnsi="宋体"/>
          <w:sz w:val="21"/>
          <w:szCs w:val="21"/>
        </w:rPr>
      </w:pPr>
      <w:r>
        <w:rPr>
          <w:rFonts w:hint="eastAsia" w:ascii="宋体" w:hAnsi="宋体"/>
          <w:sz w:val="21"/>
          <w:szCs w:val="21"/>
        </w:rPr>
        <w:t>向采购人、采购代理工作人员行贿或者提供其他不正当利益的；</w:t>
      </w:r>
    </w:p>
    <w:p>
      <w:pPr>
        <w:numPr>
          <w:ilvl w:val="0"/>
          <w:numId w:val="28"/>
        </w:numPr>
        <w:spacing w:line="240" w:lineRule="auto"/>
        <w:ind w:left="360" w:leftChars="150"/>
        <w:rPr>
          <w:rFonts w:ascii="宋体" w:hAnsi="宋体"/>
          <w:sz w:val="21"/>
          <w:szCs w:val="21"/>
        </w:rPr>
      </w:pPr>
      <w:r>
        <w:rPr>
          <w:rFonts w:hint="eastAsia" w:ascii="宋体" w:hAnsi="宋体"/>
          <w:sz w:val="21"/>
          <w:szCs w:val="21"/>
        </w:rPr>
        <w:t>未经采购代理同意，在采购过程中与采购人进行协商谈判的；</w:t>
      </w:r>
    </w:p>
    <w:p>
      <w:pPr>
        <w:numPr>
          <w:ilvl w:val="0"/>
          <w:numId w:val="28"/>
        </w:numPr>
        <w:spacing w:line="240" w:lineRule="auto"/>
        <w:ind w:left="360" w:leftChars="150"/>
        <w:rPr>
          <w:rFonts w:ascii="宋体" w:hAnsi="宋体"/>
          <w:sz w:val="21"/>
          <w:szCs w:val="21"/>
        </w:rPr>
      </w:pPr>
      <w:r>
        <w:rPr>
          <w:rFonts w:hint="eastAsia" w:ascii="宋体" w:hAnsi="宋体"/>
          <w:sz w:val="21"/>
          <w:szCs w:val="21"/>
        </w:rPr>
        <w:t>拒绝有关部门监督检查或提供虚假情况的。</w:t>
      </w:r>
    </w:p>
    <w:p>
      <w:pPr>
        <w:spacing w:line="240" w:lineRule="auto"/>
        <w:rPr>
          <w:rFonts w:ascii="宋体" w:hAnsi="宋体"/>
          <w:sz w:val="21"/>
          <w:szCs w:val="21"/>
        </w:rPr>
      </w:pPr>
    </w:p>
    <w:p>
      <w:pPr>
        <w:spacing w:line="240" w:lineRule="auto"/>
        <w:ind w:firstLine="420"/>
        <w:rPr>
          <w:rFonts w:ascii="宋体" w:hAnsi="宋体"/>
          <w:sz w:val="21"/>
          <w:szCs w:val="21"/>
        </w:rPr>
      </w:pPr>
      <w:r>
        <w:rPr>
          <w:rFonts w:hint="eastAsia" w:ascii="宋体" w:hAnsi="宋体"/>
          <w:sz w:val="21"/>
          <w:szCs w:val="21"/>
        </w:rPr>
        <w:t>与本投标有关的一切往来通讯请寄：</w:t>
      </w:r>
    </w:p>
    <w:p>
      <w:pPr>
        <w:tabs>
          <w:tab w:val="left" w:pos="480"/>
        </w:tabs>
        <w:spacing w:line="240" w:lineRule="auto"/>
        <w:rPr>
          <w:rFonts w:ascii="宋体" w:hAnsi="宋体"/>
          <w:sz w:val="21"/>
          <w:szCs w:val="21"/>
        </w:rPr>
      </w:pPr>
      <w:r>
        <w:rPr>
          <w:rFonts w:hint="eastAsia" w:ascii="宋体" w:hAnsi="宋体"/>
          <w:sz w:val="21"/>
          <w:szCs w:val="21"/>
        </w:rPr>
        <w:tab/>
      </w:r>
      <w:r>
        <w:rPr>
          <w:rFonts w:hint="eastAsia" w:ascii="宋体" w:hAnsi="宋体"/>
          <w:sz w:val="21"/>
          <w:szCs w:val="21"/>
        </w:rPr>
        <w:t>地址：____________________________________________________</w:t>
      </w:r>
    </w:p>
    <w:p>
      <w:pPr>
        <w:tabs>
          <w:tab w:val="left" w:pos="480"/>
        </w:tabs>
        <w:spacing w:line="240" w:lineRule="auto"/>
        <w:rPr>
          <w:rFonts w:ascii="宋体" w:hAnsi="宋体"/>
          <w:sz w:val="21"/>
          <w:szCs w:val="21"/>
        </w:rPr>
      </w:pPr>
      <w:r>
        <w:rPr>
          <w:rFonts w:hint="eastAsia" w:ascii="宋体" w:hAnsi="宋体"/>
          <w:sz w:val="21"/>
          <w:szCs w:val="21"/>
        </w:rPr>
        <w:tab/>
      </w:r>
      <w:r>
        <w:rPr>
          <w:rFonts w:hint="eastAsia" w:ascii="宋体" w:hAnsi="宋体"/>
          <w:sz w:val="21"/>
          <w:szCs w:val="21"/>
        </w:rPr>
        <w:t>邮编：____________　</w:t>
      </w:r>
    </w:p>
    <w:p>
      <w:pPr>
        <w:tabs>
          <w:tab w:val="left" w:pos="480"/>
        </w:tabs>
        <w:spacing w:line="240" w:lineRule="auto"/>
        <w:rPr>
          <w:rFonts w:ascii="宋体" w:hAnsi="宋体"/>
          <w:sz w:val="21"/>
          <w:szCs w:val="21"/>
        </w:rPr>
      </w:pPr>
      <w:r>
        <w:rPr>
          <w:rFonts w:hint="eastAsia" w:ascii="宋体" w:hAnsi="宋体"/>
          <w:sz w:val="21"/>
          <w:szCs w:val="21"/>
        </w:rPr>
        <w:tab/>
      </w:r>
      <w:r>
        <w:rPr>
          <w:rFonts w:hint="eastAsia" w:ascii="宋体" w:hAnsi="宋体"/>
          <w:sz w:val="21"/>
          <w:szCs w:val="21"/>
        </w:rPr>
        <w:t>电话：____________　</w:t>
      </w:r>
    </w:p>
    <w:p>
      <w:pPr>
        <w:tabs>
          <w:tab w:val="left" w:pos="480"/>
        </w:tabs>
        <w:spacing w:line="240" w:lineRule="auto"/>
        <w:rPr>
          <w:rFonts w:ascii="宋体" w:hAnsi="宋体"/>
          <w:sz w:val="21"/>
          <w:szCs w:val="21"/>
        </w:rPr>
      </w:pPr>
      <w:r>
        <w:rPr>
          <w:rFonts w:hint="eastAsia" w:ascii="宋体" w:hAnsi="宋体"/>
          <w:sz w:val="21"/>
          <w:szCs w:val="21"/>
        </w:rPr>
        <w:tab/>
      </w:r>
      <w:r>
        <w:rPr>
          <w:rFonts w:hint="eastAsia" w:ascii="宋体" w:hAnsi="宋体"/>
          <w:sz w:val="21"/>
          <w:szCs w:val="21"/>
        </w:rPr>
        <w:t>传真：____________</w:t>
      </w:r>
    </w:p>
    <w:p>
      <w:pPr>
        <w:tabs>
          <w:tab w:val="left" w:pos="480"/>
        </w:tabs>
        <w:spacing w:line="240" w:lineRule="auto"/>
        <w:ind w:firstLine="478" w:firstLineChars="228"/>
        <w:rPr>
          <w:rFonts w:ascii="宋体" w:hAnsi="宋体"/>
          <w:sz w:val="21"/>
          <w:szCs w:val="21"/>
          <w:u w:val="single"/>
        </w:rPr>
      </w:pPr>
      <w:r>
        <w:rPr>
          <w:rFonts w:hint="eastAsia" w:ascii="宋体" w:hAnsi="宋体"/>
          <w:sz w:val="21"/>
          <w:szCs w:val="21"/>
        </w:rPr>
        <w:t>服务供应商代表姓名：</w:t>
      </w:r>
      <w:r>
        <w:rPr>
          <w:rFonts w:hint="eastAsia" w:ascii="宋体" w:hAnsi="宋体"/>
          <w:sz w:val="21"/>
          <w:szCs w:val="21"/>
          <w:u w:val="single"/>
        </w:rPr>
        <w:t xml:space="preserve">              </w:t>
      </w:r>
    </w:p>
    <w:p>
      <w:pPr>
        <w:tabs>
          <w:tab w:val="left" w:pos="480"/>
        </w:tabs>
        <w:spacing w:line="240" w:lineRule="auto"/>
        <w:ind w:firstLine="478" w:firstLineChars="228"/>
        <w:rPr>
          <w:rFonts w:ascii="宋体" w:hAnsi="宋体"/>
          <w:sz w:val="21"/>
          <w:szCs w:val="21"/>
        </w:rPr>
      </w:pPr>
      <w:r>
        <w:rPr>
          <w:rFonts w:hint="eastAsia" w:ascii="宋体" w:hAnsi="宋体"/>
          <w:sz w:val="21"/>
          <w:szCs w:val="21"/>
        </w:rPr>
        <w:t>服务供应商代表联系电话，e-mail：</w:t>
      </w:r>
      <w:r>
        <w:rPr>
          <w:rFonts w:hint="eastAsia" w:ascii="宋体" w:hAnsi="宋体"/>
          <w:sz w:val="21"/>
          <w:szCs w:val="21"/>
          <w:u w:val="single"/>
        </w:rPr>
        <w:t xml:space="preserve">           </w:t>
      </w:r>
    </w:p>
    <w:p>
      <w:pPr>
        <w:tabs>
          <w:tab w:val="left" w:pos="480"/>
        </w:tabs>
        <w:spacing w:line="240" w:lineRule="auto"/>
        <w:rPr>
          <w:rFonts w:ascii="宋体" w:hAnsi="宋体"/>
          <w:sz w:val="21"/>
          <w:szCs w:val="21"/>
        </w:rPr>
      </w:pPr>
    </w:p>
    <w:p>
      <w:pPr>
        <w:spacing w:line="240" w:lineRule="auto"/>
        <w:ind w:firstLine="3960"/>
        <w:rPr>
          <w:rFonts w:ascii="宋体" w:hAnsi="宋体"/>
          <w:sz w:val="21"/>
          <w:szCs w:val="21"/>
        </w:rPr>
      </w:pPr>
    </w:p>
    <w:p>
      <w:pPr>
        <w:tabs>
          <w:tab w:val="left" w:pos="1200"/>
        </w:tabs>
        <w:spacing w:line="240" w:lineRule="auto"/>
        <w:rPr>
          <w:rFonts w:ascii="宋体" w:hAnsi="宋体"/>
          <w:sz w:val="21"/>
          <w:szCs w:val="21"/>
        </w:rPr>
      </w:pPr>
      <w:r>
        <w:rPr>
          <w:rFonts w:hint="eastAsia" w:ascii="宋体" w:hAnsi="宋体"/>
          <w:sz w:val="21"/>
          <w:szCs w:val="21"/>
        </w:rPr>
        <w:tab/>
      </w:r>
      <w:r>
        <w:rPr>
          <w:rFonts w:hint="eastAsia" w:ascii="宋体" w:hAnsi="宋体"/>
          <w:sz w:val="21"/>
          <w:szCs w:val="21"/>
        </w:rPr>
        <w:t>服务供应商(公章)：</w:t>
      </w:r>
    </w:p>
    <w:p>
      <w:pPr>
        <w:tabs>
          <w:tab w:val="left" w:pos="1200"/>
        </w:tabs>
        <w:spacing w:line="240" w:lineRule="auto"/>
        <w:rPr>
          <w:rFonts w:ascii="宋体" w:hAnsi="宋体"/>
          <w:sz w:val="21"/>
          <w:szCs w:val="21"/>
        </w:rPr>
      </w:pPr>
    </w:p>
    <w:p>
      <w:pPr>
        <w:tabs>
          <w:tab w:val="left" w:pos="1200"/>
        </w:tabs>
        <w:spacing w:line="240" w:lineRule="auto"/>
        <w:rPr>
          <w:rFonts w:ascii="宋体" w:hAnsi="宋体"/>
          <w:sz w:val="21"/>
          <w:szCs w:val="21"/>
        </w:rPr>
      </w:pPr>
      <w:r>
        <w:rPr>
          <w:rFonts w:hint="eastAsia" w:ascii="宋体" w:hAnsi="宋体"/>
          <w:sz w:val="21"/>
          <w:szCs w:val="21"/>
        </w:rPr>
        <w:tab/>
      </w:r>
      <w:r>
        <w:rPr>
          <w:rFonts w:hint="eastAsia" w:ascii="宋体" w:hAnsi="宋体"/>
          <w:sz w:val="21"/>
          <w:szCs w:val="21"/>
        </w:rPr>
        <w:t>服务供应商代表(签字)：</w:t>
      </w:r>
    </w:p>
    <w:p>
      <w:pPr>
        <w:tabs>
          <w:tab w:val="left" w:pos="1200"/>
        </w:tabs>
        <w:spacing w:line="240" w:lineRule="auto"/>
        <w:rPr>
          <w:rFonts w:ascii="宋体" w:hAnsi="宋体"/>
          <w:sz w:val="21"/>
          <w:szCs w:val="21"/>
        </w:rPr>
      </w:pPr>
    </w:p>
    <w:p>
      <w:pPr>
        <w:tabs>
          <w:tab w:val="left" w:pos="1200"/>
        </w:tabs>
        <w:spacing w:line="240" w:lineRule="auto"/>
        <w:rPr>
          <w:rFonts w:ascii="宋体" w:hAnsi="宋体"/>
          <w:sz w:val="21"/>
          <w:szCs w:val="21"/>
        </w:rPr>
      </w:pPr>
      <w:r>
        <w:rPr>
          <w:rFonts w:hint="eastAsia" w:ascii="宋体" w:hAnsi="宋体"/>
          <w:sz w:val="21"/>
          <w:szCs w:val="21"/>
        </w:rPr>
        <w:tab/>
      </w:r>
      <w:r>
        <w:rPr>
          <w:rFonts w:hint="eastAsia" w:ascii="宋体" w:hAnsi="宋体"/>
          <w:sz w:val="21"/>
          <w:szCs w:val="21"/>
        </w:rPr>
        <w:t>日　期：</w:t>
      </w:r>
    </w:p>
    <w:p>
      <w:pPr>
        <w:spacing w:line="240" w:lineRule="auto"/>
        <w:rPr>
          <w:rFonts w:ascii="宋体" w:hAnsi="宋体"/>
          <w:sz w:val="21"/>
          <w:szCs w:val="21"/>
        </w:rPr>
      </w:pPr>
    </w:p>
    <w:p>
      <w:pPr>
        <w:spacing w:line="240" w:lineRule="auto"/>
        <w:ind w:left="420" w:hanging="420" w:hangingChars="200"/>
        <w:rPr>
          <w:rFonts w:ascii="宋体" w:hAnsi="宋体"/>
          <w:sz w:val="21"/>
          <w:szCs w:val="21"/>
        </w:rPr>
      </w:pPr>
      <w:r>
        <w:rPr>
          <w:rFonts w:hint="eastAsia" w:ascii="宋体" w:hAnsi="宋体"/>
          <w:sz w:val="21"/>
          <w:szCs w:val="21"/>
        </w:rPr>
        <w:t>注：除可填报项目外，对本投标函的任何修改将被视为非实质性响应投标，从而导致该投标被拒绝。</w:t>
      </w:r>
    </w:p>
    <w:p>
      <w:pPr>
        <w:keepNext/>
        <w:keepLines/>
        <w:spacing w:before="260" w:after="260" w:line="240" w:lineRule="auto"/>
        <w:ind w:left="-2" w:leftChars="-1"/>
        <w:textAlignment w:val="auto"/>
        <w:outlineLvl w:val="1"/>
        <w:rPr>
          <w:rFonts w:ascii="宋体" w:hAnsi="宋体" w:cs="宋体"/>
          <w:b/>
          <w:bCs/>
          <w:sz w:val="21"/>
          <w:lang w:val="zh-CN"/>
        </w:rPr>
      </w:pPr>
      <w:bookmarkStart w:id="131" w:name="_Toc86202635"/>
      <w:bookmarkStart w:id="132" w:name="_Toc87810264"/>
      <w:bookmarkStart w:id="133" w:name="_Toc87373411"/>
      <w:bookmarkStart w:id="134" w:name="_Toc87373511"/>
      <w:bookmarkStart w:id="135" w:name="_Toc99718163"/>
      <w:bookmarkStart w:id="136" w:name="_Toc99881781"/>
      <w:bookmarkStart w:id="137" w:name="_Toc116879978"/>
      <w:r>
        <w:rPr>
          <w:rFonts w:hint="eastAsia" w:ascii="宋体" w:hAnsi="宋体" w:cs="宋体"/>
          <w:b/>
          <w:bCs/>
          <w:sz w:val="21"/>
          <w:lang w:val="zh-CN"/>
        </w:rPr>
        <w:t>二、法定代表人授权委托书</w:t>
      </w:r>
      <w:bookmarkEnd w:id="131"/>
      <w:bookmarkEnd w:id="132"/>
      <w:bookmarkEnd w:id="133"/>
      <w:bookmarkEnd w:id="134"/>
      <w:bookmarkEnd w:id="135"/>
      <w:bookmarkEnd w:id="136"/>
      <w:bookmarkEnd w:id="137"/>
    </w:p>
    <w:p>
      <w:pPr>
        <w:spacing w:line="240" w:lineRule="auto"/>
        <w:textAlignment w:val="auto"/>
        <w:rPr>
          <w:rFonts w:ascii="宋体" w:hAnsi="宋体"/>
          <w:sz w:val="21"/>
          <w:szCs w:val="21"/>
        </w:rPr>
      </w:pPr>
      <w:r>
        <w:rPr>
          <w:rFonts w:hint="eastAsia" w:ascii="宋体" w:hAnsi="宋体"/>
          <w:sz w:val="21"/>
          <w:szCs w:val="21"/>
        </w:rPr>
        <w:t>采购代理：</w:t>
      </w:r>
    </w:p>
    <w:p>
      <w:pPr>
        <w:spacing w:line="240" w:lineRule="auto"/>
        <w:textAlignment w:val="auto"/>
        <w:rPr>
          <w:rFonts w:ascii="宋体" w:hAnsi="宋体"/>
          <w:sz w:val="21"/>
          <w:szCs w:val="21"/>
        </w:rPr>
      </w:pPr>
      <w:r>
        <w:rPr>
          <w:rFonts w:hint="eastAsia" w:ascii="宋体" w:hAnsi="宋体"/>
          <w:sz w:val="21"/>
          <w:szCs w:val="21"/>
        </w:rPr>
        <w:t xml:space="preserve">    本授权书声明：注册于</w:t>
      </w:r>
      <w:r>
        <w:rPr>
          <w:rFonts w:hint="eastAsia" w:ascii="宋体" w:hAnsi="宋体"/>
          <w:sz w:val="21"/>
          <w:szCs w:val="21"/>
          <w:u w:val="single"/>
        </w:rPr>
        <w:t xml:space="preserve">            </w:t>
      </w:r>
      <w:r>
        <w:rPr>
          <w:rFonts w:hint="eastAsia" w:ascii="宋体" w:hAnsi="宋体"/>
          <w:sz w:val="21"/>
          <w:szCs w:val="21"/>
        </w:rPr>
        <w:t>（服务供应商地址）的</w:t>
      </w:r>
      <w:r>
        <w:rPr>
          <w:rFonts w:hint="eastAsia" w:ascii="宋体" w:hAnsi="宋体"/>
          <w:sz w:val="21"/>
          <w:szCs w:val="21"/>
          <w:u w:val="single"/>
        </w:rPr>
        <w:t xml:space="preserve">            </w:t>
      </w:r>
      <w:r>
        <w:rPr>
          <w:rFonts w:hint="eastAsia" w:ascii="宋体" w:hAnsi="宋体"/>
          <w:sz w:val="21"/>
          <w:szCs w:val="21"/>
        </w:rPr>
        <w:t>（服务供应商名称）法定代表人</w:t>
      </w:r>
      <w:r>
        <w:rPr>
          <w:rFonts w:hint="eastAsia" w:ascii="宋体" w:hAnsi="宋体"/>
          <w:sz w:val="21"/>
          <w:szCs w:val="21"/>
          <w:u w:val="single"/>
        </w:rPr>
        <w:t xml:space="preserve">            </w:t>
      </w:r>
      <w:r>
        <w:rPr>
          <w:rFonts w:hint="eastAsia" w:ascii="宋体" w:hAnsi="宋体"/>
          <w:sz w:val="21"/>
          <w:szCs w:val="21"/>
        </w:rPr>
        <w:t>（法定代表人姓名、职务）代表本公司授权在下面签字的</w:t>
      </w:r>
      <w:r>
        <w:rPr>
          <w:rFonts w:hint="eastAsia" w:ascii="宋体" w:hAnsi="宋体"/>
          <w:sz w:val="21"/>
          <w:szCs w:val="21"/>
          <w:u w:val="single"/>
        </w:rPr>
        <w:t xml:space="preserve">          </w:t>
      </w:r>
      <w:r>
        <w:rPr>
          <w:rFonts w:hint="eastAsia" w:ascii="宋体" w:hAnsi="宋体"/>
          <w:sz w:val="21"/>
          <w:szCs w:val="21"/>
        </w:rPr>
        <w:t>（服务供应商代表姓名、职务）为本公司的合法代理人，就贵方组织的</w:t>
      </w:r>
      <w:r>
        <w:rPr>
          <w:rFonts w:hint="eastAsia" w:ascii="宋体" w:hAnsi="宋体"/>
          <w:b/>
          <w:sz w:val="21"/>
          <w:szCs w:val="21"/>
          <w:u w:val="single"/>
        </w:rPr>
        <w:t xml:space="preserve">                    </w:t>
      </w:r>
      <w:r>
        <w:rPr>
          <w:rFonts w:hint="eastAsia" w:ascii="宋体" w:hAnsi="宋体"/>
          <w:b/>
          <w:sz w:val="21"/>
          <w:szCs w:val="21"/>
        </w:rPr>
        <w:t xml:space="preserve"> </w:t>
      </w:r>
      <w:r>
        <w:rPr>
          <w:rFonts w:hint="eastAsia" w:ascii="宋体" w:hAnsi="宋体"/>
          <w:sz w:val="21"/>
          <w:szCs w:val="21"/>
        </w:rPr>
        <w:t>项目，项目编号：</w:t>
      </w:r>
      <w:r>
        <w:rPr>
          <w:rFonts w:hint="eastAsia" w:ascii="宋体" w:hAnsi="宋体"/>
          <w:b/>
          <w:sz w:val="21"/>
          <w:szCs w:val="21"/>
          <w:u w:val="single"/>
        </w:rPr>
        <w:t xml:space="preserve">          </w:t>
      </w:r>
      <w:r>
        <w:rPr>
          <w:rFonts w:hint="eastAsia" w:ascii="宋体" w:hAnsi="宋体"/>
          <w:sz w:val="21"/>
          <w:szCs w:val="21"/>
        </w:rPr>
        <w:t>，以本公司名义处理一切与之有关的事务。</w:t>
      </w:r>
    </w:p>
    <w:p>
      <w:pPr>
        <w:spacing w:line="240" w:lineRule="auto"/>
        <w:textAlignment w:val="auto"/>
        <w:rPr>
          <w:rFonts w:ascii="宋体" w:hAnsi="宋体"/>
          <w:sz w:val="21"/>
          <w:szCs w:val="21"/>
        </w:rPr>
      </w:pPr>
      <w:r>
        <w:rPr>
          <w:rFonts w:hint="eastAsia" w:ascii="宋体" w:hAnsi="宋体"/>
          <w:sz w:val="21"/>
          <w:szCs w:val="21"/>
        </w:rPr>
        <w:t xml:space="preserve">    本授权书于    年  月  日签字生效，特此声明。</w:t>
      </w:r>
    </w:p>
    <w:p>
      <w:pPr>
        <w:spacing w:line="240" w:lineRule="auto"/>
        <w:textAlignment w:val="auto"/>
        <w:rPr>
          <w:rFonts w:ascii="宋体" w:hAnsi="宋体"/>
          <w:sz w:val="21"/>
          <w:szCs w:val="21"/>
        </w:rPr>
      </w:pPr>
      <w:r>
        <w:rPr>
          <w:rFonts w:hint="eastAsia" w:ascii="宋体" w:hAnsi="宋体"/>
          <w:sz w:val="21"/>
          <w:szCs w:val="21"/>
        </w:rPr>
        <w:t xml:space="preserve">    </w:t>
      </w:r>
    </w:p>
    <w:p>
      <w:pPr>
        <w:spacing w:line="240" w:lineRule="auto"/>
        <w:ind w:firstLine="420" w:firstLineChars="200"/>
        <w:textAlignment w:val="auto"/>
        <w:rPr>
          <w:rFonts w:ascii="宋体" w:hAnsi="宋体"/>
          <w:sz w:val="21"/>
          <w:szCs w:val="21"/>
        </w:rPr>
      </w:pPr>
      <w:r>
        <w:rPr>
          <w:rFonts w:hint="eastAsia" w:ascii="宋体" w:hAnsi="宋体"/>
          <w:sz w:val="21"/>
          <w:szCs w:val="21"/>
        </w:rPr>
        <w:t>法定代表人印刷体姓名、签字盖章：</w:t>
      </w:r>
      <w:r>
        <w:rPr>
          <w:rFonts w:hint="eastAsia" w:ascii="宋体" w:hAnsi="宋体"/>
          <w:sz w:val="21"/>
          <w:szCs w:val="21"/>
          <w:u w:val="single"/>
        </w:rPr>
        <w:t xml:space="preserve">             </w:t>
      </w:r>
      <w:r>
        <w:rPr>
          <w:rFonts w:hint="eastAsia" w:ascii="宋体" w:hAnsi="宋体"/>
          <w:sz w:val="21"/>
          <w:szCs w:val="21"/>
        </w:rPr>
        <w:t xml:space="preserve">   </w:t>
      </w:r>
      <w:r>
        <w:rPr>
          <w:rFonts w:hint="eastAsia" w:ascii="宋体" w:hAnsi="宋体"/>
          <w:sz w:val="21"/>
          <w:szCs w:val="21"/>
          <w:u w:val="single"/>
        </w:rPr>
        <w:t xml:space="preserve">               </w:t>
      </w:r>
    </w:p>
    <w:p>
      <w:pPr>
        <w:spacing w:line="240" w:lineRule="auto"/>
        <w:textAlignment w:val="auto"/>
        <w:rPr>
          <w:rFonts w:ascii="宋体" w:hAnsi="宋体"/>
          <w:sz w:val="21"/>
          <w:szCs w:val="21"/>
        </w:rPr>
      </w:pPr>
      <w:r>
        <w:rPr>
          <w:rFonts w:hint="eastAsia" w:ascii="宋体" w:hAnsi="宋体"/>
          <w:sz w:val="21"/>
          <w:szCs w:val="21"/>
        </w:rPr>
        <w:t xml:space="preserve">    服务供应商代表印刷体姓名、签字盖章：</w:t>
      </w:r>
      <w:r>
        <w:rPr>
          <w:rFonts w:hint="eastAsia" w:ascii="宋体" w:hAnsi="宋体"/>
          <w:sz w:val="21"/>
          <w:szCs w:val="21"/>
          <w:u w:val="single"/>
        </w:rPr>
        <w:t xml:space="preserve">             </w:t>
      </w:r>
      <w:r>
        <w:rPr>
          <w:rFonts w:hint="eastAsia" w:ascii="宋体" w:hAnsi="宋体"/>
          <w:sz w:val="21"/>
          <w:szCs w:val="21"/>
        </w:rPr>
        <w:t xml:space="preserve">   </w:t>
      </w:r>
      <w:r>
        <w:rPr>
          <w:rFonts w:hint="eastAsia" w:ascii="宋体" w:hAnsi="宋体"/>
          <w:sz w:val="21"/>
          <w:szCs w:val="21"/>
          <w:u w:val="single"/>
        </w:rPr>
        <w:t xml:space="preserve">               </w:t>
      </w:r>
      <w:r>
        <w:rPr>
          <w:rFonts w:hint="eastAsia" w:ascii="宋体" w:hAnsi="宋体"/>
          <w:sz w:val="21"/>
          <w:szCs w:val="21"/>
        </w:rPr>
        <w:t xml:space="preserve">                    </w:t>
      </w:r>
    </w:p>
    <w:p>
      <w:pPr>
        <w:tabs>
          <w:tab w:val="left" w:pos="1230"/>
        </w:tabs>
        <w:spacing w:line="240" w:lineRule="auto"/>
        <w:textAlignment w:val="auto"/>
        <w:rPr>
          <w:rFonts w:ascii="宋体" w:hAnsi="宋体"/>
          <w:sz w:val="21"/>
          <w:szCs w:val="21"/>
        </w:rPr>
      </w:pPr>
      <w:r>
        <w:rPr>
          <w:rFonts w:hint="eastAsia" w:ascii="宋体" w:hAnsi="宋体"/>
          <w:sz w:val="21"/>
          <w:szCs w:val="21"/>
        </w:rPr>
        <w:tab/>
      </w:r>
      <w:r>
        <w:rPr>
          <w:rFonts w:hint="eastAsia" w:ascii="宋体" w:hAnsi="宋体"/>
          <w:sz w:val="21"/>
          <w:szCs w:val="21"/>
        </w:rPr>
        <w:t>服务供应商全称、服务供应商公章：</w:t>
      </w:r>
      <w:r>
        <w:rPr>
          <w:rFonts w:hint="eastAsia" w:ascii="宋体" w:hAnsi="宋体"/>
          <w:sz w:val="21"/>
          <w:szCs w:val="21"/>
          <w:u w:val="single"/>
        </w:rPr>
        <w:t xml:space="preserve">             </w:t>
      </w:r>
      <w:r>
        <w:rPr>
          <w:rFonts w:hint="eastAsia" w:ascii="宋体" w:hAnsi="宋体"/>
          <w:sz w:val="21"/>
          <w:szCs w:val="21"/>
        </w:rPr>
        <w:t xml:space="preserve">   </w:t>
      </w:r>
      <w:r>
        <w:rPr>
          <w:rFonts w:hint="eastAsia" w:ascii="宋体" w:hAnsi="宋体"/>
          <w:sz w:val="21"/>
          <w:szCs w:val="21"/>
          <w:u w:val="single"/>
        </w:rPr>
        <w:t xml:space="preserve">               </w:t>
      </w:r>
    </w:p>
    <w:p>
      <w:pPr>
        <w:pStyle w:val="136"/>
        <w:numPr>
          <w:ilvl w:val="0"/>
          <w:numId w:val="0"/>
        </w:numPr>
        <w:ind w:left="2"/>
        <w:rPr>
          <w:szCs w:val="21"/>
        </w:rPr>
      </w:pPr>
      <w:bookmarkStart w:id="138" w:name="_Toc99718167"/>
      <w:bookmarkStart w:id="139" w:name="_Toc99881785"/>
      <w:bookmarkStart w:id="140" w:name="_Toc116879982"/>
      <w:bookmarkStart w:id="141" w:name="_Toc87373415"/>
      <w:bookmarkStart w:id="142" w:name="_Toc87373515"/>
      <w:bookmarkStart w:id="143" w:name="_Toc87810268"/>
      <w:bookmarkStart w:id="144" w:name="_Toc86202642"/>
      <w:r>
        <w:rPr>
          <w:rFonts w:hint="eastAsia"/>
          <w:szCs w:val="21"/>
        </w:rPr>
        <w:t>三、</w:t>
      </w:r>
      <w:r>
        <w:rPr>
          <w:rFonts w:hint="eastAsia"/>
        </w:rPr>
        <w:t>按照“服务供应商的资质要求”规定提交的相关证明文件，包括但不限于以下文件：</w:t>
      </w:r>
    </w:p>
    <w:bookmarkEnd w:id="138"/>
    <w:bookmarkEnd w:id="139"/>
    <w:bookmarkEnd w:id="140"/>
    <w:bookmarkEnd w:id="141"/>
    <w:bookmarkEnd w:id="142"/>
    <w:bookmarkEnd w:id="143"/>
    <w:bookmarkEnd w:id="144"/>
    <w:p>
      <w:pPr>
        <w:numPr>
          <w:ilvl w:val="0"/>
          <w:numId w:val="29"/>
        </w:numPr>
        <w:spacing w:line="360" w:lineRule="auto"/>
        <w:rPr>
          <w:sz w:val="21"/>
          <w:szCs w:val="21"/>
        </w:rPr>
      </w:pPr>
      <w:bookmarkStart w:id="145" w:name="_Toc86202648"/>
      <w:bookmarkStart w:id="146" w:name="_Toc87373522"/>
      <w:bookmarkStart w:id="147" w:name="_Toc87373422"/>
      <w:bookmarkStart w:id="148" w:name="_Toc87810275"/>
      <w:bookmarkStart w:id="149" w:name="_Toc99718175"/>
      <w:bookmarkStart w:id="150" w:name="_Toc99881793"/>
      <w:bookmarkStart w:id="151" w:name="_Toc116879990"/>
      <w:r>
        <w:rPr>
          <w:rFonts w:hint="eastAsia"/>
          <w:sz w:val="21"/>
          <w:szCs w:val="21"/>
        </w:rPr>
        <w:t>服务供应商提供营业执照或法人证书；（复印件加盖服务供应商公章）；</w:t>
      </w:r>
    </w:p>
    <w:p>
      <w:pPr>
        <w:numPr>
          <w:ilvl w:val="0"/>
          <w:numId w:val="29"/>
        </w:numPr>
        <w:spacing w:line="360" w:lineRule="auto"/>
        <w:rPr>
          <w:sz w:val="21"/>
          <w:szCs w:val="21"/>
        </w:rPr>
      </w:pPr>
      <w:r>
        <w:rPr>
          <w:rFonts w:hint="eastAsia"/>
          <w:sz w:val="21"/>
          <w:szCs w:val="21"/>
        </w:rPr>
        <w:t>服务供应商提供2016（或2017）年财务报告（或财务报表），或最近任意一个月财务报表；</w:t>
      </w:r>
    </w:p>
    <w:p>
      <w:pPr>
        <w:numPr>
          <w:ilvl w:val="0"/>
          <w:numId w:val="29"/>
        </w:numPr>
        <w:spacing w:line="360" w:lineRule="auto"/>
        <w:rPr>
          <w:sz w:val="21"/>
          <w:szCs w:val="21"/>
        </w:rPr>
      </w:pPr>
      <w:r>
        <w:rPr>
          <w:rFonts w:hint="eastAsia"/>
          <w:sz w:val="21"/>
          <w:szCs w:val="21"/>
        </w:rPr>
        <w:t>服务供应商提供近三个月按时缴纳税收和社会保障资金的缴费凭证或证明文件；</w:t>
      </w:r>
    </w:p>
    <w:p>
      <w:pPr>
        <w:numPr>
          <w:ilvl w:val="0"/>
          <w:numId w:val="29"/>
        </w:numPr>
        <w:spacing w:line="360" w:lineRule="auto"/>
        <w:rPr>
          <w:sz w:val="21"/>
          <w:szCs w:val="21"/>
        </w:rPr>
      </w:pPr>
      <w:r>
        <w:rPr>
          <w:rFonts w:hint="eastAsia"/>
          <w:sz w:val="21"/>
          <w:szCs w:val="21"/>
        </w:rPr>
        <w:t>服务供应商提供具有履行合同所必需的设备和专业技术能力的书面声明；</w:t>
      </w:r>
    </w:p>
    <w:p>
      <w:pPr>
        <w:numPr>
          <w:ilvl w:val="0"/>
          <w:numId w:val="29"/>
        </w:numPr>
        <w:spacing w:line="360" w:lineRule="auto"/>
        <w:rPr>
          <w:sz w:val="21"/>
          <w:szCs w:val="21"/>
        </w:rPr>
      </w:pPr>
      <w:r>
        <w:rPr>
          <w:rFonts w:hint="eastAsia"/>
          <w:sz w:val="21"/>
          <w:szCs w:val="21"/>
        </w:rPr>
        <w:t>参加政府采购活动前三年内，在经营活动中没有重大违法记录的书面声明；</w:t>
      </w:r>
    </w:p>
    <w:p>
      <w:pPr>
        <w:numPr>
          <w:ilvl w:val="0"/>
          <w:numId w:val="29"/>
        </w:numPr>
        <w:spacing w:line="360" w:lineRule="auto"/>
        <w:rPr>
          <w:sz w:val="21"/>
          <w:szCs w:val="21"/>
        </w:rPr>
      </w:pPr>
      <w:r>
        <w:rPr>
          <w:rFonts w:hint="eastAsia"/>
          <w:sz w:val="21"/>
          <w:szCs w:val="21"/>
        </w:rPr>
        <w:t>基础电信业务经营许可证，服务供应商为各省市县分公司的，可提供总公司（集团）以上两项任意一项符合要求的经营许可证，以及总公司（集团）或省级分公司针对本项目给服务供应商出具的投标授权函原件。</w:t>
      </w:r>
      <w:bookmarkEnd w:id="145"/>
      <w:bookmarkEnd w:id="146"/>
      <w:bookmarkEnd w:id="147"/>
      <w:bookmarkEnd w:id="148"/>
      <w:bookmarkEnd w:id="149"/>
      <w:bookmarkEnd w:id="150"/>
      <w:bookmarkEnd w:id="151"/>
    </w:p>
    <w:p>
      <w:pPr>
        <w:pStyle w:val="136"/>
        <w:numPr>
          <w:ilvl w:val="0"/>
          <w:numId w:val="0"/>
        </w:numPr>
        <w:ind w:left="2"/>
      </w:pPr>
      <w:r>
        <w:rPr>
          <w:rFonts w:hint="eastAsia"/>
        </w:rPr>
        <w:t>四、服务供应商需提供在</w:t>
      </w:r>
      <w:r>
        <w:t>2016-2017</w:t>
      </w:r>
      <w:r>
        <w:rPr>
          <w:rFonts w:hint="eastAsia"/>
        </w:rPr>
        <w:t>年内，以自身名义签署的单份合同年合同额在100万以上的因特网接入服务合同（须提供完整的合同复印件）</w:t>
      </w:r>
    </w:p>
    <w:p>
      <w:pPr>
        <w:pStyle w:val="136"/>
        <w:numPr>
          <w:ilvl w:val="0"/>
          <w:numId w:val="0"/>
        </w:numPr>
        <w:rPr>
          <w:szCs w:val="21"/>
        </w:rPr>
      </w:pPr>
      <w:r>
        <w:rPr>
          <w:rFonts w:hint="eastAsia"/>
          <w:szCs w:val="21"/>
        </w:rPr>
        <w:t>五、商务文件偏离表</w:t>
      </w:r>
    </w:p>
    <w:p>
      <w:pPr>
        <w:spacing w:line="400" w:lineRule="exact"/>
        <w:jc w:val="both"/>
        <w:rPr>
          <w:rFonts w:ascii="宋体" w:hAnsi="宋体"/>
          <w:sz w:val="21"/>
          <w:szCs w:val="21"/>
        </w:rPr>
      </w:pPr>
      <w:r>
        <w:rPr>
          <w:rFonts w:hint="eastAsia" w:ascii="宋体" w:hAnsi="宋体"/>
          <w:sz w:val="21"/>
          <w:szCs w:val="21"/>
        </w:rPr>
        <w:t xml:space="preserve">    如服务供应商提交的商务文件与采购文件的要求存在偏离，需逐项填写商务文件偏离表，否则认为服务供应商完全接受采购文件的要求。</w:t>
      </w:r>
    </w:p>
    <w:p>
      <w:pPr>
        <w:spacing w:line="400" w:lineRule="exact"/>
        <w:jc w:val="both"/>
        <w:rPr>
          <w:rFonts w:ascii="宋体" w:hAnsi="宋体"/>
          <w:sz w:val="21"/>
          <w:szCs w:val="21"/>
        </w:rPr>
      </w:pPr>
      <w:r>
        <w:rPr>
          <w:rFonts w:hint="eastAsia" w:ascii="宋体" w:hAnsi="宋体"/>
          <w:sz w:val="21"/>
          <w:szCs w:val="21"/>
        </w:rPr>
        <w:t xml:space="preserve">    项目名称：</w:t>
      </w:r>
      <w:r>
        <w:rPr>
          <w:rFonts w:hint="eastAsia" w:ascii="宋体" w:hAnsi="宋体"/>
          <w:sz w:val="21"/>
          <w:szCs w:val="21"/>
          <w:u w:val="single"/>
        </w:rPr>
        <w:t xml:space="preserve">                                   </w:t>
      </w:r>
    </w:p>
    <w:p>
      <w:pPr>
        <w:spacing w:line="400" w:lineRule="exact"/>
        <w:jc w:val="both"/>
        <w:rPr>
          <w:rFonts w:ascii="宋体" w:hAnsi="宋体"/>
          <w:sz w:val="21"/>
          <w:szCs w:val="21"/>
        </w:rPr>
      </w:pPr>
      <w:r>
        <w:rPr>
          <w:rFonts w:hint="eastAsia" w:ascii="宋体" w:hAnsi="宋体"/>
          <w:sz w:val="21"/>
          <w:szCs w:val="21"/>
        </w:rPr>
        <w:t xml:space="preserve">    项目编号：</w:t>
      </w:r>
      <w:r>
        <w:rPr>
          <w:rFonts w:hint="eastAsia" w:ascii="宋体" w:hAnsi="宋体"/>
          <w:sz w:val="21"/>
          <w:szCs w:val="21"/>
          <w:u w:val="single"/>
        </w:rPr>
        <w:t xml:space="preserve">                                   </w:t>
      </w:r>
    </w:p>
    <w:p>
      <w:pPr>
        <w:spacing w:line="400" w:lineRule="exact"/>
        <w:jc w:val="both"/>
        <w:rPr>
          <w:rFonts w:ascii="宋体" w:hAnsi="宋体"/>
          <w:sz w:val="21"/>
          <w:szCs w:val="21"/>
        </w:rPr>
      </w:pPr>
      <w:r>
        <w:rPr>
          <w:rFonts w:hint="eastAsia" w:ascii="宋体" w:hAnsi="宋体"/>
          <w:sz w:val="21"/>
          <w:szCs w:val="21"/>
        </w:rPr>
        <w:t xml:space="preserve">    服务供应商名称：</w:t>
      </w:r>
      <w:r>
        <w:rPr>
          <w:rFonts w:hint="eastAsia" w:ascii="宋体" w:hAnsi="宋体"/>
          <w:sz w:val="21"/>
          <w:szCs w:val="21"/>
          <w:u w:val="single"/>
        </w:rPr>
        <w:t xml:space="preserve">                                 </w:t>
      </w:r>
    </w:p>
    <w:p>
      <w:pPr>
        <w:spacing w:line="400" w:lineRule="exact"/>
        <w:jc w:val="both"/>
        <w:rPr>
          <w:rFonts w:ascii="宋体" w:hAnsi="宋体"/>
          <w:sz w:val="21"/>
          <w:szCs w:val="21"/>
        </w:rPr>
      </w:pPr>
      <w:r>
        <w:rPr>
          <w:rFonts w:hint="eastAsia" w:ascii="宋体" w:hAnsi="宋体"/>
          <w:sz w:val="21"/>
          <w:szCs w:val="21"/>
        </w:rPr>
        <w:t xml:space="preserve">   </w:t>
      </w:r>
    </w:p>
    <w:p>
      <w:pPr>
        <w:spacing w:line="240" w:lineRule="auto"/>
        <w:jc w:val="both"/>
        <w:rPr>
          <w:rFonts w:ascii="宋体" w:hAnsi="宋体"/>
          <w:sz w:val="21"/>
          <w:szCs w:val="21"/>
        </w:rPr>
      </w:pPr>
    </w:p>
    <w:tbl>
      <w:tblPr>
        <w:tblStyle w:val="47"/>
        <w:tblW w:w="90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00"/>
        <w:gridCol w:w="2400"/>
        <w:gridCol w:w="2294"/>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8" w:type="dxa"/>
            <w:tcBorders>
              <w:top w:val="single" w:color="auto" w:sz="4" w:space="0"/>
              <w:left w:val="single" w:color="auto" w:sz="4" w:space="0"/>
              <w:bottom w:val="single" w:color="auto" w:sz="4" w:space="0"/>
              <w:right w:val="single" w:color="auto" w:sz="4" w:space="0"/>
            </w:tcBorders>
          </w:tcPr>
          <w:p>
            <w:pPr>
              <w:spacing w:line="240" w:lineRule="auto"/>
              <w:jc w:val="both"/>
              <w:rPr>
                <w:rFonts w:ascii="宋体" w:hAnsi="宋体"/>
                <w:sz w:val="21"/>
                <w:szCs w:val="21"/>
              </w:rPr>
            </w:pPr>
            <w:r>
              <w:rPr>
                <w:rFonts w:hint="eastAsia" w:ascii="宋体" w:hAnsi="宋体"/>
                <w:sz w:val="21"/>
                <w:szCs w:val="21"/>
              </w:rPr>
              <w:t>序号</w:t>
            </w:r>
          </w:p>
        </w:tc>
        <w:tc>
          <w:tcPr>
            <w:tcW w:w="1800"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hAnsi="宋体"/>
                <w:sz w:val="21"/>
                <w:szCs w:val="21"/>
              </w:rPr>
            </w:pPr>
            <w:r>
              <w:rPr>
                <w:rFonts w:hint="eastAsia" w:ascii="宋体" w:hAnsi="宋体"/>
                <w:sz w:val="21"/>
                <w:szCs w:val="21"/>
              </w:rPr>
              <w:t>采购文件条目号</w:t>
            </w:r>
          </w:p>
        </w:tc>
        <w:tc>
          <w:tcPr>
            <w:tcW w:w="2400"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hAnsi="宋体"/>
                <w:sz w:val="21"/>
                <w:szCs w:val="21"/>
              </w:rPr>
            </w:pPr>
            <w:r>
              <w:rPr>
                <w:rFonts w:hint="eastAsia" w:ascii="宋体" w:hAnsi="宋体"/>
                <w:sz w:val="21"/>
                <w:szCs w:val="21"/>
              </w:rPr>
              <w:t>采购文件商务文件要求</w:t>
            </w:r>
          </w:p>
        </w:tc>
        <w:tc>
          <w:tcPr>
            <w:tcW w:w="2294"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hAnsi="宋体"/>
                <w:sz w:val="21"/>
                <w:szCs w:val="21"/>
              </w:rPr>
            </w:pPr>
            <w:r>
              <w:rPr>
                <w:rFonts w:hint="eastAsia" w:ascii="宋体" w:hAnsi="宋体"/>
                <w:sz w:val="21"/>
                <w:szCs w:val="21"/>
              </w:rPr>
              <w:t>采购文件的应答</w:t>
            </w:r>
          </w:p>
        </w:tc>
        <w:tc>
          <w:tcPr>
            <w:tcW w:w="1801"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hAnsi="宋体"/>
                <w:sz w:val="21"/>
                <w:szCs w:val="21"/>
              </w:rPr>
            </w:pPr>
            <w:r>
              <w:rPr>
                <w:rFonts w:hint="eastAsia" w:ascii="宋体" w:hAnsi="宋体"/>
                <w:sz w:val="21"/>
                <w:szCs w:val="21"/>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8" w:type="dxa"/>
            <w:tcBorders>
              <w:top w:val="single" w:color="auto" w:sz="4" w:space="0"/>
              <w:left w:val="single" w:color="auto" w:sz="4" w:space="0"/>
              <w:bottom w:val="single" w:color="auto" w:sz="4" w:space="0"/>
              <w:right w:val="single" w:color="auto" w:sz="4" w:space="0"/>
            </w:tcBorders>
          </w:tcPr>
          <w:p>
            <w:pPr>
              <w:spacing w:line="240" w:lineRule="auto"/>
              <w:jc w:val="both"/>
              <w:rPr>
                <w:rFonts w:ascii="宋体" w:hAnsi="宋体"/>
                <w:sz w:val="21"/>
                <w:szCs w:val="21"/>
              </w:rPr>
            </w:pPr>
          </w:p>
        </w:tc>
        <w:tc>
          <w:tcPr>
            <w:tcW w:w="1800" w:type="dxa"/>
            <w:tcBorders>
              <w:top w:val="single" w:color="auto" w:sz="4" w:space="0"/>
              <w:left w:val="single" w:color="auto" w:sz="4" w:space="0"/>
              <w:bottom w:val="single" w:color="auto" w:sz="4" w:space="0"/>
              <w:right w:val="single" w:color="auto" w:sz="4" w:space="0"/>
            </w:tcBorders>
          </w:tcPr>
          <w:p>
            <w:pPr>
              <w:spacing w:line="240" w:lineRule="auto"/>
              <w:jc w:val="both"/>
              <w:rPr>
                <w:rFonts w:ascii="宋体" w:hAnsi="宋体"/>
                <w:sz w:val="21"/>
                <w:szCs w:val="21"/>
              </w:rPr>
            </w:pPr>
          </w:p>
        </w:tc>
        <w:tc>
          <w:tcPr>
            <w:tcW w:w="2400" w:type="dxa"/>
            <w:tcBorders>
              <w:top w:val="single" w:color="auto" w:sz="4" w:space="0"/>
              <w:left w:val="single" w:color="auto" w:sz="4" w:space="0"/>
              <w:bottom w:val="single" w:color="auto" w:sz="4" w:space="0"/>
              <w:right w:val="single" w:color="auto" w:sz="4" w:space="0"/>
            </w:tcBorders>
          </w:tcPr>
          <w:p>
            <w:pPr>
              <w:spacing w:line="240" w:lineRule="auto"/>
              <w:jc w:val="both"/>
              <w:rPr>
                <w:rFonts w:ascii="宋体" w:hAnsi="宋体"/>
                <w:sz w:val="21"/>
                <w:szCs w:val="21"/>
              </w:rPr>
            </w:pPr>
          </w:p>
        </w:tc>
        <w:tc>
          <w:tcPr>
            <w:tcW w:w="2294" w:type="dxa"/>
            <w:tcBorders>
              <w:top w:val="single" w:color="auto" w:sz="4" w:space="0"/>
              <w:left w:val="single" w:color="auto" w:sz="4" w:space="0"/>
              <w:bottom w:val="single" w:color="auto" w:sz="4" w:space="0"/>
              <w:right w:val="single" w:color="auto" w:sz="4" w:space="0"/>
            </w:tcBorders>
          </w:tcPr>
          <w:p>
            <w:pPr>
              <w:spacing w:line="240" w:lineRule="auto"/>
              <w:jc w:val="both"/>
              <w:rPr>
                <w:rFonts w:ascii="宋体" w:hAnsi="宋体"/>
                <w:sz w:val="21"/>
                <w:szCs w:val="21"/>
              </w:rPr>
            </w:pPr>
          </w:p>
        </w:tc>
        <w:tc>
          <w:tcPr>
            <w:tcW w:w="1801" w:type="dxa"/>
            <w:tcBorders>
              <w:top w:val="single" w:color="auto" w:sz="4" w:space="0"/>
              <w:left w:val="single" w:color="auto" w:sz="4" w:space="0"/>
              <w:bottom w:val="single" w:color="auto" w:sz="4" w:space="0"/>
              <w:right w:val="single" w:color="auto" w:sz="4" w:space="0"/>
            </w:tcBorders>
          </w:tcPr>
          <w:p>
            <w:pPr>
              <w:spacing w:line="240" w:lineRule="auto"/>
              <w:jc w:val="both"/>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8" w:type="dxa"/>
            <w:tcBorders>
              <w:top w:val="single" w:color="auto" w:sz="4" w:space="0"/>
              <w:left w:val="single" w:color="auto" w:sz="4" w:space="0"/>
              <w:bottom w:val="single" w:color="auto" w:sz="4" w:space="0"/>
              <w:right w:val="single" w:color="auto" w:sz="4" w:space="0"/>
            </w:tcBorders>
          </w:tcPr>
          <w:p>
            <w:pPr>
              <w:spacing w:line="240" w:lineRule="auto"/>
              <w:jc w:val="both"/>
              <w:rPr>
                <w:rFonts w:ascii="宋体" w:hAnsi="宋体"/>
                <w:sz w:val="21"/>
                <w:szCs w:val="21"/>
              </w:rPr>
            </w:pPr>
          </w:p>
        </w:tc>
        <w:tc>
          <w:tcPr>
            <w:tcW w:w="1800" w:type="dxa"/>
            <w:tcBorders>
              <w:top w:val="single" w:color="auto" w:sz="4" w:space="0"/>
              <w:left w:val="single" w:color="auto" w:sz="4" w:space="0"/>
              <w:bottom w:val="single" w:color="auto" w:sz="4" w:space="0"/>
              <w:right w:val="single" w:color="auto" w:sz="4" w:space="0"/>
            </w:tcBorders>
          </w:tcPr>
          <w:p>
            <w:pPr>
              <w:spacing w:line="240" w:lineRule="auto"/>
              <w:jc w:val="both"/>
              <w:rPr>
                <w:rFonts w:ascii="宋体" w:hAnsi="宋体"/>
                <w:sz w:val="21"/>
                <w:szCs w:val="21"/>
              </w:rPr>
            </w:pPr>
          </w:p>
        </w:tc>
        <w:tc>
          <w:tcPr>
            <w:tcW w:w="2400" w:type="dxa"/>
            <w:tcBorders>
              <w:top w:val="single" w:color="auto" w:sz="4" w:space="0"/>
              <w:left w:val="single" w:color="auto" w:sz="4" w:space="0"/>
              <w:bottom w:val="single" w:color="auto" w:sz="4" w:space="0"/>
              <w:right w:val="single" w:color="auto" w:sz="4" w:space="0"/>
            </w:tcBorders>
          </w:tcPr>
          <w:p>
            <w:pPr>
              <w:spacing w:line="240" w:lineRule="auto"/>
              <w:jc w:val="both"/>
              <w:rPr>
                <w:rFonts w:ascii="宋体" w:hAnsi="宋体"/>
                <w:sz w:val="21"/>
                <w:szCs w:val="21"/>
              </w:rPr>
            </w:pPr>
          </w:p>
        </w:tc>
        <w:tc>
          <w:tcPr>
            <w:tcW w:w="2294" w:type="dxa"/>
            <w:tcBorders>
              <w:top w:val="single" w:color="auto" w:sz="4" w:space="0"/>
              <w:left w:val="single" w:color="auto" w:sz="4" w:space="0"/>
              <w:bottom w:val="single" w:color="auto" w:sz="4" w:space="0"/>
              <w:right w:val="single" w:color="auto" w:sz="4" w:space="0"/>
            </w:tcBorders>
          </w:tcPr>
          <w:p>
            <w:pPr>
              <w:spacing w:line="240" w:lineRule="auto"/>
              <w:jc w:val="both"/>
              <w:rPr>
                <w:rFonts w:ascii="宋体" w:hAnsi="宋体"/>
                <w:sz w:val="21"/>
                <w:szCs w:val="21"/>
              </w:rPr>
            </w:pPr>
          </w:p>
        </w:tc>
        <w:tc>
          <w:tcPr>
            <w:tcW w:w="1801" w:type="dxa"/>
            <w:tcBorders>
              <w:top w:val="single" w:color="auto" w:sz="4" w:space="0"/>
              <w:left w:val="single" w:color="auto" w:sz="4" w:space="0"/>
              <w:bottom w:val="single" w:color="auto" w:sz="4" w:space="0"/>
              <w:right w:val="single" w:color="auto" w:sz="4" w:space="0"/>
            </w:tcBorders>
          </w:tcPr>
          <w:p>
            <w:pPr>
              <w:spacing w:line="240" w:lineRule="auto"/>
              <w:jc w:val="both"/>
              <w:rPr>
                <w:rFonts w:ascii="宋体" w:hAnsi="宋体"/>
                <w:sz w:val="21"/>
                <w:szCs w:val="21"/>
              </w:rPr>
            </w:pPr>
          </w:p>
        </w:tc>
      </w:tr>
    </w:tbl>
    <w:p>
      <w:pPr>
        <w:spacing w:line="240" w:lineRule="auto"/>
        <w:jc w:val="both"/>
        <w:rPr>
          <w:rFonts w:ascii="宋体" w:hAnsi="宋体"/>
          <w:sz w:val="21"/>
          <w:szCs w:val="21"/>
        </w:rPr>
      </w:pPr>
    </w:p>
    <w:p>
      <w:pPr>
        <w:spacing w:line="240" w:lineRule="auto"/>
        <w:jc w:val="both"/>
        <w:rPr>
          <w:rFonts w:ascii="宋体" w:hAnsi="宋体"/>
          <w:sz w:val="21"/>
          <w:szCs w:val="21"/>
        </w:rPr>
      </w:pPr>
      <w:r>
        <w:rPr>
          <w:rFonts w:hint="eastAsia" w:ascii="宋体" w:hAnsi="宋体"/>
          <w:sz w:val="21"/>
          <w:szCs w:val="21"/>
        </w:rPr>
        <w:t>服务供应商公章：</w:t>
      </w:r>
    </w:p>
    <w:p>
      <w:pPr>
        <w:spacing w:line="240" w:lineRule="auto"/>
        <w:jc w:val="both"/>
        <w:rPr>
          <w:rFonts w:ascii="宋体" w:hAnsi="宋体"/>
          <w:sz w:val="21"/>
          <w:szCs w:val="21"/>
        </w:rPr>
      </w:pPr>
      <w:r>
        <w:rPr>
          <w:rFonts w:hint="eastAsia" w:ascii="宋体" w:hAnsi="宋体"/>
          <w:sz w:val="21"/>
          <w:szCs w:val="21"/>
        </w:rPr>
        <w:t>服务供应商代表签字：</w:t>
      </w:r>
      <w:r>
        <w:rPr>
          <w:rFonts w:hint="eastAsia" w:ascii="宋体" w:hAnsi="宋体"/>
          <w:sz w:val="21"/>
          <w:szCs w:val="21"/>
          <w:u w:val="single"/>
        </w:rPr>
        <w:t xml:space="preserve">                              </w:t>
      </w:r>
    </w:p>
    <w:p>
      <w:pPr>
        <w:spacing w:line="240" w:lineRule="auto"/>
        <w:jc w:val="both"/>
        <w:rPr>
          <w:rFonts w:ascii="宋体" w:hAnsi="宋体"/>
          <w:sz w:val="21"/>
          <w:szCs w:val="21"/>
          <w:u w:val="single"/>
        </w:rPr>
      </w:pPr>
      <w:r>
        <w:rPr>
          <w:rFonts w:hint="eastAsia" w:ascii="宋体" w:hAnsi="宋体"/>
          <w:sz w:val="21"/>
          <w:szCs w:val="21"/>
        </w:rPr>
        <w:t>日期：</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pPr>
        <w:spacing w:before="163" w:beforeLines="50" w:after="163" w:afterLines="50" w:line="240" w:lineRule="auto"/>
        <w:jc w:val="both"/>
        <w:rPr>
          <w:rFonts w:ascii="宋体" w:hAnsi="宋体"/>
          <w:sz w:val="21"/>
          <w:szCs w:val="21"/>
          <w:u w:val="single"/>
        </w:rPr>
      </w:pPr>
      <w:r>
        <w:rPr>
          <w:rFonts w:hint="eastAsia"/>
          <w:b/>
          <w:szCs w:val="21"/>
        </w:rPr>
        <w:t>六、服务供应商认为需要提供的其他商务资料</w:t>
      </w:r>
      <w:r>
        <w:rPr>
          <w:b/>
          <w:sz w:val="21"/>
          <w:szCs w:val="21"/>
        </w:rPr>
        <w:br w:type="page"/>
      </w:r>
    </w:p>
    <w:p>
      <w:pPr>
        <w:keepNext/>
        <w:keepLines/>
        <w:spacing w:before="260" w:after="260" w:line="240" w:lineRule="auto"/>
        <w:jc w:val="center"/>
        <w:textAlignment w:val="auto"/>
        <w:outlineLvl w:val="1"/>
        <w:rPr>
          <w:rFonts w:ascii="宋体" w:hAnsi="宋体" w:cs="宋体"/>
          <w:b/>
          <w:bCs/>
          <w:sz w:val="28"/>
          <w:szCs w:val="28"/>
          <w:lang w:val="zh-CN"/>
        </w:rPr>
      </w:pPr>
      <w:bookmarkStart w:id="152" w:name="_Toc86202651"/>
      <w:bookmarkStart w:id="153" w:name="_Toc87373425"/>
      <w:bookmarkStart w:id="154" w:name="_Toc87373525"/>
      <w:bookmarkStart w:id="155" w:name="_Toc87810278"/>
      <w:bookmarkStart w:id="156" w:name="_Toc99718178"/>
      <w:bookmarkStart w:id="157" w:name="_Toc99881796"/>
      <w:bookmarkStart w:id="158" w:name="_Toc116879993"/>
      <w:r>
        <w:rPr>
          <w:rFonts w:hint="eastAsia" w:ascii="宋体" w:hAnsi="宋体" w:cs="宋体"/>
          <w:b/>
          <w:bCs/>
          <w:sz w:val="28"/>
          <w:szCs w:val="28"/>
          <w:lang w:val="zh-CN"/>
        </w:rPr>
        <w:t>技术部分</w:t>
      </w:r>
    </w:p>
    <w:p>
      <w:pPr>
        <w:pStyle w:val="136"/>
        <w:numPr>
          <w:ilvl w:val="0"/>
          <w:numId w:val="0"/>
        </w:numPr>
        <w:rPr>
          <w:szCs w:val="21"/>
        </w:rPr>
      </w:pPr>
      <w:r>
        <w:rPr>
          <w:rFonts w:hint="eastAsia"/>
        </w:rPr>
        <w:t>一、开标一览表</w:t>
      </w:r>
      <w:bookmarkEnd w:id="152"/>
      <w:bookmarkEnd w:id="153"/>
      <w:bookmarkEnd w:id="154"/>
      <w:bookmarkEnd w:id="155"/>
      <w:bookmarkEnd w:id="156"/>
      <w:bookmarkEnd w:id="157"/>
      <w:bookmarkEnd w:id="158"/>
      <w:r>
        <w:rPr>
          <w:rFonts w:hint="eastAsia"/>
        </w:rPr>
        <w:t>（服务供应商必须选用下表对项目进行单独报价，未按照本条要求提供报价表，则导致投标被拒绝）</w:t>
      </w:r>
    </w:p>
    <w:p>
      <w:pPr>
        <w:rPr>
          <w:rFonts w:ascii="宋体" w:hAnsi="宋体"/>
          <w:sz w:val="21"/>
          <w:szCs w:val="21"/>
        </w:rPr>
      </w:pPr>
      <w:r>
        <w:rPr>
          <w:rFonts w:hint="eastAsia" w:ascii="宋体" w:hAnsi="宋体"/>
          <w:sz w:val="21"/>
          <w:szCs w:val="21"/>
        </w:rPr>
        <w:t>项目名称：</w:t>
      </w:r>
      <w:r>
        <w:rPr>
          <w:rFonts w:hint="eastAsia" w:ascii="宋体" w:hAnsi="宋体"/>
          <w:sz w:val="21"/>
          <w:szCs w:val="21"/>
          <w:u w:val="single"/>
        </w:rPr>
        <w:t xml:space="preserve">                                </w:t>
      </w:r>
    </w:p>
    <w:p>
      <w:pPr>
        <w:rPr>
          <w:rFonts w:ascii="宋体" w:hAnsi="宋体"/>
          <w:sz w:val="21"/>
          <w:szCs w:val="21"/>
          <w:u w:val="single"/>
        </w:rPr>
      </w:pPr>
      <w:r>
        <w:rPr>
          <w:rFonts w:hint="eastAsia" w:ascii="宋体" w:hAnsi="宋体"/>
          <w:sz w:val="21"/>
          <w:szCs w:val="21"/>
        </w:rPr>
        <w:t>服务供应商名称:</w:t>
      </w:r>
      <w:r>
        <w:rPr>
          <w:rFonts w:hint="eastAsia" w:ascii="宋体" w:hAnsi="宋体"/>
          <w:sz w:val="21"/>
          <w:szCs w:val="21"/>
          <w:u w:val="single"/>
        </w:rPr>
        <w:t xml:space="preserve">                            </w:t>
      </w:r>
    </w:p>
    <w:p>
      <w:pPr>
        <w:jc w:val="both"/>
        <w:rPr>
          <w:rFonts w:ascii="宋体" w:hAnsi="宋体"/>
          <w:b/>
          <w:sz w:val="21"/>
          <w:szCs w:val="21"/>
        </w:rPr>
      </w:pPr>
      <w:r>
        <w:rPr>
          <w:rFonts w:hint="eastAsia" w:ascii="宋体" w:hAnsi="宋体"/>
          <w:b/>
          <w:sz w:val="21"/>
          <w:szCs w:val="21"/>
        </w:rPr>
        <w:t xml:space="preserve"> </w:t>
      </w:r>
    </w:p>
    <w:p>
      <w:pPr>
        <w:ind w:firstLine="1050" w:firstLineChars="500"/>
        <w:rPr>
          <w:rFonts w:ascii="宋体" w:hAnsi="宋体"/>
          <w:sz w:val="21"/>
          <w:szCs w:val="21"/>
        </w:rPr>
      </w:pPr>
      <w:r>
        <w:rPr>
          <w:rFonts w:hint="eastAsia" w:ascii="宋体" w:hAnsi="宋体"/>
          <w:sz w:val="21"/>
          <w:szCs w:val="21"/>
        </w:rPr>
        <w:t xml:space="preserve">                                                  </w:t>
      </w:r>
      <w:r>
        <w:rPr>
          <w:rFonts w:hint="eastAsia" w:ascii="宋体" w:hAnsi="宋体"/>
          <w:b/>
          <w:sz w:val="21"/>
          <w:szCs w:val="21"/>
        </w:rPr>
        <w:t xml:space="preserve">  价格单位：人民币元</w:t>
      </w:r>
    </w:p>
    <w:tbl>
      <w:tblPr>
        <w:tblStyle w:val="47"/>
        <w:tblW w:w="8840" w:type="dxa"/>
        <w:tblInd w:w="0" w:type="dxa"/>
        <w:tblLayout w:type="fixed"/>
        <w:tblCellMar>
          <w:top w:w="0" w:type="dxa"/>
          <w:left w:w="0" w:type="dxa"/>
          <w:bottom w:w="0" w:type="dxa"/>
          <w:right w:w="0" w:type="dxa"/>
        </w:tblCellMar>
      </w:tblPr>
      <w:tblGrid>
        <w:gridCol w:w="1280"/>
        <w:gridCol w:w="3240"/>
        <w:gridCol w:w="4320"/>
      </w:tblGrid>
      <w:tr>
        <w:tblPrEx>
          <w:tblLayout w:type="fixed"/>
          <w:tblCellMar>
            <w:top w:w="0" w:type="dxa"/>
            <w:left w:w="0" w:type="dxa"/>
            <w:bottom w:w="0" w:type="dxa"/>
            <w:right w:w="0" w:type="dxa"/>
          </w:tblCellMar>
        </w:tblPrEx>
        <w:trPr>
          <w:trHeight w:val="1117" w:hRule="exact"/>
        </w:trPr>
        <w:tc>
          <w:tcPr>
            <w:tcW w:w="1280"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napToGrid w:val="0"/>
              <w:spacing w:line="360" w:lineRule="exact"/>
              <w:jc w:val="center"/>
              <w:rPr>
                <w:rFonts w:ascii="宋体" w:hAnsi="宋体"/>
                <w:sz w:val="21"/>
                <w:szCs w:val="21"/>
              </w:rPr>
            </w:pPr>
            <w:r>
              <w:rPr>
                <w:rFonts w:hint="eastAsia" w:ascii="宋体" w:hAnsi="宋体"/>
                <w:sz w:val="21"/>
                <w:szCs w:val="21"/>
              </w:rPr>
              <w:t>序号</w:t>
            </w:r>
          </w:p>
        </w:tc>
        <w:tc>
          <w:tcPr>
            <w:tcW w:w="3240"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napToGrid w:val="0"/>
              <w:spacing w:line="360" w:lineRule="exact"/>
              <w:jc w:val="center"/>
              <w:rPr>
                <w:rFonts w:ascii="宋体" w:hAnsi="宋体"/>
                <w:sz w:val="21"/>
                <w:szCs w:val="21"/>
              </w:rPr>
            </w:pPr>
            <w:r>
              <w:rPr>
                <w:rFonts w:hint="eastAsia" w:ascii="宋体" w:hAnsi="宋体"/>
                <w:sz w:val="21"/>
                <w:szCs w:val="21"/>
              </w:rPr>
              <w:t>服务项目</w:t>
            </w:r>
          </w:p>
        </w:tc>
        <w:tc>
          <w:tcPr>
            <w:tcW w:w="4320"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napToGrid w:val="0"/>
              <w:spacing w:line="360" w:lineRule="exact"/>
              <w:jc w:val="center"/>
              <w:rPr>
                <w:rFonts w:ascii="宋体" w:hAnsi="宋体"/>
                <w:sz w:val="21"/>
                <w:szCs w:val="21"/>
              </w:rPr>
            </w:pPr>
            <w:r>
              <w:rPr>
                <w:rFonts w:hint="eastAsia" w:ascii="宋体" w:hAnsi="宋体"/>
                <w:sz w:val="21"/>
                <w:szCs w:val="21"/>
              </w:rPr>
              <w:t>投标总报价</w:t>
            </w:r>
          </w:p>
          <w:p>
            <w:pPr>
              <w:snapToGrid w:val="0"/>
              <w:spacing w:line="360" w:lineRule="exact"/>
              <w:jc w:val="center"/>
              <w:rPr>
                <w:rFonts w:ascii="宋体" w:hAnsi="宋体"/>
                <w:sz w:val="21"/>
                <w:szCs w:val="21"/>
              </w:rPr>
            </w:pPr>
            <w:r>
              <w:rPr>
                <w:rFonts w:hint="eastAsia" w:ascii="宋体" w:hAnsi="宋体"/>
                <w:sz w:val="21"/>
                <w:szCs w:val="21"/>
              </w:rPr>
              <w:t>（人民币大、小写金额）</w:t>
            </w:r>
          </w:p>
          <w:p>
            <w:pPr>
              <w:snapToGrid w:val="0"/>
              <w:spacing w:line="360" w:lineRule="exact"/>
              <w:jc w:val="center"/>
              <w:rPr>
                <w:rFonts w:ascii="宋体" w:hAnsi="宋体"/>
                <w:sz w:val="21"/>
                <w:szCs w:val="21"/>
              </w:rPr>
            </w:pPr>
          </w:p>
        </w:tc>
      </w:tr>
      <w:tr>
        <w:tblPrEx>
          <w:tblLayout w:type="fixed"/>
          <w:tblCellMar>
            <w:top w:w="0" w:type="dxa"/>
            <w:left w:w="0" w:type="dxa"/>
            <w:bottom w:w="0" w:type="dxa"/>
            <w:right w:w="0" w:type="dxa"/>
          </w:tblCellMar>
        </w:tblPrEx>
        <w:trPr>
          <w:trHeight w:val="1892" w:hRule="exact"/>
        </w:trPr>
        <w:tc>
          <w:tcPr>
            <w:tcW w:w="1280"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snapToGrid w:val="0"/>
              <w:spacing w:line="360" w:lineRule="exact"/>
              <w:jc w:val="center"/>
              <w:rPr>
                <w:rFonts w:ascii="宋体" w:hAnsi="宋体"/>
              </w:rPr>
            </w:pPr>
            <w:r>
              <w:rPr>
                <w:rFonts w:hint="eastAsia" w:ascii="宋体" w:hAnsi="宋体"/>
              </w:rPr>
              <w:t>1</w:t>
            </w:r>
          </w:p>
        </w:tc>
        <w:tc>
          <w:tcPr>
            <w:tcW w:w="3240" w:type="dxa"/>
            <w:tcBorders>
              <w:top w:val="nil"/>
              <w:left w:val="nil"/>
              <w:bottom w:val="single" w:color="auto" w:sz="4" w:space="0"/>
              <w:right w:val="single" w:color="auto" w:sz="4" w:space="0"/>
            </w:tcBorders>
            <w:tcMar>
              <w:top w:w="20" w:type="dxa"/>
              <w:left w:w="20" w:type="dxa"/>
              <w:bottom w:w="0" w:type="dxa"/>
              <w:right w:w="20" w:type="dxa"/>
            </w:tcMar>
            <w:vAlign w:val="center"/>
          </w:tcPr>
          <w:p>
            <w:pPr>
              <w:snapToGrid w:val="0"/>
              <w:spacing w:line="360" w:lineRule="exact"/>
              <w:jc w:val="center"/>
              <w:rPr>
                <w:rFonts w:ascii="宋体" w:hAnsi="宋体"/>
              </w:rPr>
            </w:pPr>
            <w:r>
              <w:rPr>
                <w:rFonts w:hint="eastAsia" w:ascii="宋体" w:hAnsi="宋体"/>
              </w:rPr>
              <w:t>1Gbps带宽服务费/年</w:t>
            </w:r>
          </w:p>
        </w:tc>
        <w:tc>
          <w:tcPr>
            <w:tcW w:w="4320"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napToGrid w:val="0"/>
              <w:spacing w:line="360" w:lineRule="exact"/>
              <w:rPr>
                <w:rFonts w:ascii="宋体" w:hAnsi="宋体"/>
              </w:rPr>
            </w:pPr>
          </w:p>
        </w:tc>
      </w:tr>
    </w:tbl>
    <w:p>
      <w:pPr>
        <w:jc w:val="both"/>
        <w:textAlignment w:val="auto"/>
        <w:rPr>
          <w:rFonts w:ascii="宋体" w:hAnsi="宋体"/>
          <w:b/>
          <w:sz w:val="21"/>
          <w:szCs w:val="21"/>
        </w:rPr>
      </w:pPr>
      <w:r>
        <w:rPr>
          <w:rFonts w:hint="eastAsia" w:ascii="宋体" w:hAnsi="宋体"/>
          <w:b/>
          <w:sz w:val="21"/>
          <w:szCs w:val="21"/>
        </w:rPr>
        <w:t>说明：</w:t>
      </w:r>
      <w:r>
        <w:rPr>
          <w:rFonts w:hint="eastAsia" w:ascii="宋体" w:hAnsi="宋体" w:cs="宋体"/>
          <w:b/>
          <w:bCs/>
          <w:sz w:val="21"/>
        </w:rPr>
        <w:t>投标总报价中应包含本项目要求的所有服务内容。</w:t>
      </w:r>
    </w:p>
    <w:p>
      <w:pPr>
        <w:textAlignment w:val="auto"/>
        <w:rPr>
          <w:rFonts w:ascii="宋体" w:hAnsi="宋体"/>
          <w:sz w:val="21"/>
          <w:szCs w:val="21"/>
        </w:rPr>
      </w:pPr>
    </w:p>
    <w:p>
      <w:pPr>
        <w:rPr>
          <w:rFonts w:ascii="宋体" w:hAnsi="宋体"/>
          <w:sz w:val="21"/>
          <w:szCs w:val="21"/>
        </w:rPr>
      </w:pPr>
      <w:r>
        <w:rPr>
          <w:rFonts w:hint="eastAsia"/>
          <w:b/>
          <w:sz w:val="21"/>
          <w:szCs w:val="21"/>
        </w:rPr>
        <w:t>所有服务的投标总价大写金额</w:t>
      </w:r>
      <w:r>
        <w:rPr>
          <w:rFonts w:hint="eastAsia"/>
          <w:sz w:val="21"/>
          <w:szCs w:val="21"/>
        </w:rPr>
        <w:t>：</w:t>
      </w:r>
      <w:r>
        <w:rPr>
          <w:sz w:val="21"/>
          <w:szCs w:val="21"/>
          <w:u w:val="single"/>
        </w:rPr>
        <w:t xml:space="preserve">                                  </w:t>
      </w:r>
    </w:p>
    <w:p>
      <w:pPr>
        <w:rPr>
          <w:rFonts w:ascii="宋体" w:hAnsi="宋体"/>
          <w:sz w:val="21"/>
          <w:szCs w:val="21"/>
          <w:u w:val="single"/>
        </w:rPr>
      </w:pPr>
      <w:r>
        <w:rPr>
          <w:rFonts w:hint="eastAsia" w:ascii="宋体" w:hAnsi="宋体"/>
          <w:sz w:val="21"/>
          <w:szCs w:val="21"/>
        </w:rPr>
        <w:t xml:space="preserve">特别说明事项：    </w:t>
      </w:r>
      <w:r>
        <w:rPr>
          <w:rFonts w:hint="eastAsia" w:ascii="宋体" w:hAnsi="宋体"/>
          <w:sz w:val="21"/>
          <w:szCs w:val="21"/>
          <w:u w:val="single"/>
        </w:rPr>
        <w:t xml:space="preserve">                                   </w:t>
      </w:r>
    </w:p>
    <w:p>
      <w:pPr>
        <w:rPr>
          <w:rFonts w:ascii="宋体" w:hAnsi="宋体"/>
          <w:sz w:val="21"/>
          <w:szCs w:val="21"/>
          <w:u w:val="single"/>
        </w:rPr>
      </w:pPr>
      <w:r>
        <w:rPr>
          <w:rFonts w:hint="eastAsia" w:ascii="宋体" w:hAnsi="宋体"/>
          <w:sz w:val="21"/>
          <w:szCs w:val="21"/>
        </w:rPr>
        <w:t xml:space="preserve">服务供应商公章：      </w:t>
      </w:r>
      <w:r>
        <w:rPr>
          <w:rFonts w:hint="eastAsia" w:ascii="宋体" w:hAnsi="宋体"/>
          <w:sz w:val="21"/>
          <w:szCs w:val="21"/>
          <w:u w:val="single"/>
        </w:rPr>
        <w:t xml:space="preserve">                                   </w:t>
      </w:r>
    </w:p>
    <w:p>
      <w:pPr>
        <w:tabs>
          <w:tab w:val="left" w:pos="480"/>
        </w:tabs>
        <w:rPr>
          <w:rFonts w:ascii="宋体" w:hAnsi="宋体"/>
          <w:sz w:val="21"/>
          <w:szCs w:val="21"/>
        </w:rPr>
      </w:pPr>
      <w:r>
        <w:rPr>
          <w:rFonts w:hint="eastAsia" w:ascii="宋体" w:hAnsi="宋体"/>
          <w:sz w:val="21"/>
          <w:szCs w:val="21"/>
        </w:rPr>
        <w:t xml:space="preserve">服务供应商代表签字： </w:t>
      </w:r>
      <w:r>
        <w:rPr>
          <w:rFonts w:hint="eastAsia" w:ascii="宋体" w:hAnsi="宋体"/>
          <w:sz w:val="21"/>
          <w:szCs w:val="21"/>
          <w:u w:val="single"/>
        </w:rPr>
        <w:t xml:space="preserve">                                    </w:t>
      </w:r>
    </w:p>
    <w:p>
      <w:pPr>
        <w:rPr>
          <w:rFonts w:ascii="宋体" w:hAnsi="宋体"/>
          <w:sz w:val="21"/>
          <w:szCs w:val="21"/>
          <w:u w:val="single"/>
        </w:rPr>
      </w:pPr>
      <w:r>
        <w:rPr>
          <w:rFonts w:hint="eastAsia" w:ascii="宋体" w:hAnsi="宋体"/>
          <w:sz w:val="21"/>
          <w:szCs w:val="21"/>
        </w:rPr>
        <w:t xml:space="preserve">日期：           </w:t>
      </w:r>
      <w:r>
        <w:rPr>
          <w:rFonts w:hint="eastAsia" w:ascii="宋体" w:hAnsi="宋体"/>
          <w:sz w:val="21"/>
          <w:szCs w:val="21"/>
          <w:u w:val="single"/>
        </w:rPr>
        <w:t xml:space="preserve">                                    </w:t>
      </w:r>
    </w:p>
    <w:p>
      <w:pPr>
        <w:keepNext/>
        <w:keepLines/>
        <w:spacing w:before="260" w:after="260" w:line="240" w:lineRule="auto"/>
        <w:textAlignment w:val="auto"/>
        <w:outlineLvl w:val="1"/>
        <w:rPr>
          <w:rFonts w:ascii="宋体" w:hAnsi="宋体" w:cs="宋体"/>
          <w:b/>
          <w:bCs/>
          <w:sz w:val="21"/>
          <w:lang w:val="zh-CN"/>
        </w:rPr>
      </w:pPr>
      <w:bookmarkStart w:id="159" w:name="_Toc87373527"/>
      <w:bookmarkStart w:id="160" w:name="_Toc99718180"/>
      <w:bookmarkStart w:id="161" w:name="_Toc87810280"/>
      <w:bookmarkStart w:id="162" w:name="_Toc87373427"/>
      <w:bookmarkStart w:id="163" w:name="_Toc116879995"/>
      <w:bookmarkStart w:id="164" w:name="_Toc99881798"/>
      <w:r>
        <w:rPr>
          <w:rFonts w:hint="eastAsia" w:ascii="宋体" w:hAnsi="宋体" w:cs="宋体"/>
          <w:b/>
          <w:bCs/>
          <w:sz w:val="21"/>
          <w:lang w:val="zh-CN"/>
        </w:rPr>
        <w:t>二、</w:t>
      </w:r>
      <w:bookmarkEnd w:id="159"/>
      <w:bookmarkEnd w:id="160"/>
      <w:bookmarkEnd w:id="161"/>
      <w:bookmarkEnd w:id="162"/>
      <w:bookmarkEnd w:id="163"/>
      <w:bookmarkEnd w:id="164"/>
      <w:r>
        <w:rPr>
          <w:rFonts w:hint="eastAsia" w:ascii="宋体" w:hAnsi="宋体" w:cs="宋体"/>
          <w:b/>
          <w:bCs/>
          <w:sz w:val="21"/>
          <w:lang w:val="zh-CN"/>
        </w:rPr>
        <w:t>根据采购文件第五部分列出的技术指标和性能要求制作逐项应答表并如实列出服务存在的偏离；对采购文件中技术指标和性能要求的简单复制作为采购文件的技术应答将可能导致投标被拒绝。</w:t>
      </w:r>
    </w:p>
    <w:tbl>
      <w:tblPr>
        <w:tblStyle w:val="47"/>
        <w:tblW w:w="836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6"/>
        <w:gridCol w:w="1802"/>
        <w:gridCol w:w="1917"/>
        <w:gridCol w:w="2037"/>
        <w:gridCol w:w="993"/>
        <w:gridCol w:w="9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626" w:type="dxa"/>
            <w:tcBorders>
              <w:top w:val="single" w:color="000000" w:sz="6" w:space="0"/>
              <w:left w:val="single" w:color="000000" w:sz="6" w:space="0"/>
              <w:bottom w:val="single" w:color="000000" w:sz="6" w:space="0"/>
              <w:right w:val="single" w:color="000000" w:sz="6" w:space="0"/>
            </w:tcBorders>
            <w:vAlign w:val="center"/>
          </w:tcPr>
          <w:p>
            <w:pPr>
              <w:spacing w:before="120" w:line="440" w:lineRule="atLeast"/>
              <w:jc w:val="center"/>
              <w:textAlignment w:val="auto"/>
              <w:rPr>
                <w:rFonts w:ascii="宋体" w:hAnsi="宋体"/>
                <w:sz w:val="21"/>
                <w:szCs w:val="21"/>
              </w:rPr>
            </w:pPr>
            <w:r>
              <w:rPr>
                <w:rFonts w:hint="eastAsia" w:ascii="宋体" w:hAnsi="宋体"/>
                <w:sz w:val="21"/>
                <w:szCs w:val="21"/>
              </w:rPr>
              <w:t>序号</w:t>
            </w:r>
          </w:p>
        </w:tc>
        <w:tc>
          <w:tcPr>
            <w:tcW w:w="1802" w:type="dxa"/>
            <w:tcBorders>
              <w:top w:val="single" w:color="000000" w:sz="6" w:space="0"/>
              <w:left w:val="single" w:color="000000" w:sz="6" w:space="0"/>
              <w:bottom w:val="single" w:color="000000" w:sz="6" w:space="0"/>
              <w:right w:val="single" w:color="000000" w:sz="6" w:space="0"/>
            </w:tcBorders>
            <w:vAlign w:val="center"/>
          </w:tcPr>
          <w:p>
            <w:pPr>
              <w:spacing w:before="120" w:line="440" w:lineRule="atLeast"/>
              <w:jc w:val="center"/>
              <w:textAlignment w:val="auto"/>
              <w:rPr>
                <w:rFonts w:ascii="宋体" w:hAnsi="宋体"/>
                <w:sz w:val="21"/>
                <w:szCs w:val="21"/>
              </w:rPr>
            </w:pPr>
            <w:r>
              <w:rPr>
                <w:rFonts w:hint="eastAsia" w:ascii="宋体" w:hAnsi="宋体"/>
                <w:sz w:val="21"/>
                <w:szCs w:val="21"/>
              </w:rPr>
              <w:t>内容名称</w:t>
            </w:r>
          </w:p>
        </w:tc>
        <w:tc>
          <w:tcPr>
            <w:tcW w:w="1917" w:type="dxa"/>
            <w:tcBorders>
              <w:top w:val="single" w:color="000000" w:sz="6" w:space="0"/>
              <w:left w:val="single" w:color="000000" w:sz="6" w:space="0"/>
              <w:bottom w:val="single" w:color="000000" w:sz="6" w:space="0"/>
              <w:right w:val="single" w:color="000000" w:sz="6" w:space="0"/>
            </w:tcBorders>
            <w:vAlign w:val="center"/>
          </w:tcPr>
          <w:p>
            <w:pPr>
              <w:jc w:val="center"/>
              <w:textAlignment w:val="auto"/>
              <w:rPr>
                <w:rFonts w:ascii="宋体" w:hAnsi="宋体"/>
                <w:sz w:val="21"/>
                <w:szCs w:val="21"/>
              </w:rPr>
            </w:pPr>
            <w:r>
              <w:rPr>
                <w:rFonts w:hint="eastAsia" w:ascii="宋体" w:hAnsi="宋体"/>
                <w:sz w:val="21"/>
                <w:szCs w:val="21"/>
              </w:rPr>
              <w:t>采购文件中技术指标及性能要求</w:t>
            </w:r>
          </w:p>
        </w:tc>
        <w:tc>
          <w:tcPr>
            <w:tcW w:w="2037" w:type="dxa"/>
            <w:tcBorders>
              <w:top w:val="single" w:color="000000" w:sz="6" w:space="0"/>
              <w:left w:val="single" w:color="000000" w:sz="6" w:space="0"/>
              <w:bottom w:val="single" w:color="000000" w:sz="6" w:space="0"/>
              <w:right w:val="single" w:color="000000" w:sz="6" w:space="0"/>
            </w:tcBorders>
            <w:vAlign w:val="center"/>
          </w:tcPr>
          <w:p>
            <w:pPr>
              <w:jc w:val="center"/>
              <w:textAlignment w:val="auto"/>
              <w:rPr>
                <w:rFonts w:ascii="宋体" w:hAnsi="宋体"/>
                <w:sz w:val="21"/>
                <w:szCs w:val="21"/>
              </w:rPr>
            </w:pPr>
            <w:r>
              <w:rPr>
                <w:rFonts w:hint="eastAsia" w:ascii="宋体" w:hAnsi="宋体"/>
                <w:sz w:val="21"/>
                <w:szCs w:val="21"/>
              </w:rPr>
              <w:t>采购文件中</w:t>
            </w:r>
          </w:p>
          <w:p>
            <w:pPr>
              <w:jc w:val="center"/>
              <w:textAlignment w:val="auto"/>
              <w:rPr>
                <w:rFonts w:ascii="宋体" w:hAnsi="宋体"/>
                <w:sz w:val="21"/>
                <w:szCs w:val="21"/>
              </w:rPr>
            </w:pPr>
            <w:r>
              <w:rPr>
                <w:rFonts w:hint="eastAsia" w:ascii="宋体" w:hAnsi="宋体"/>
                <w:sz w:val="21"/>
                <w:szCs w:val="21"/>
              </w:rPr>
              <w:t>相对应的技术指标及性能要求</w:t>
            </w:r>
          </w:p>
        </w:tc>
        <w:tc>
          <w:tcPr>
            <w:tcW w:w="993" w:type="dxa"/>
            <w:tcBorders>
              <w:top w:val="single" w:color="000000" w:sz="6" w:space="0"/>
              <w:left w:val="single" w:color="000000" w:sz="6" w:space="0"/>
              <w:bottom w:val="single" w:color="000000" w:sz="6" w:space="0"/>
              <w:right w:val="single" w:color="000000" w:sz="6" w:space="0"/>
            </w:tcBorders>
            <w:vAlign w:val="center"/>
          </w:tcPr>
          <w:p>
            <w:pPr>
              <w:spacing w:before="120" w:line="440" w:lineRule="atLeast"/>
              <w:jc w:val="center"/>
              <w:textAlignment w:val="auto"/>
              <w:rPr>
                <w:rFonts w:ascii="宋体" w:hAnsi="宋体"/>
                <w:sz w:val="21"/>
                <w:szCs w:val="21"/>
              </w:rPr>
            </w:pPr>
            <w:r>
              <w:rPr>
                <w:rFonts w:hint="eastAsia" w:ascii="宋体" w:hAnsi="宋体"/>
                <w:sz w:val="21"/>
                <w:szCs w:val="21"/>
              </w:rPr>
              <w:t>偏差</w:t>
            </w:r>
          </w:p>
        </w:tc>
        <w:tc>
          <w:tcPr>
            <w:tcW w:w="993" w:type="dxa"/>
            <w:tcBorders>
              <w:top w:val="single" w:color="000000" w:sz="6" w:space="0"/>
              <w:left w:val="single" w:color="000000" w:sz="6" w:space="0"/>
              <w:bottom w:val="single" w:color="000000" w:sz="6" w:space="0"/>
              <w:right w:val="single" w:color="000000" w:sz="6" w:space="0"/>
            </w:tcBorders>
            <w:vAlign w:val="center"/>
          </w:tcPr>
          <w:p>
            <w:pPr>
              <w:spacing w:before="120" w:line="440" w:lineRule="atLeast"/>
              <w:jc w:val="center"/>
              <w:textAlignment w:val="auto"/>
              <w:rPr>
                <w:rFonts w:ascii="宋体" w:hAnsi="宋体"/>
                <w:sz w:val="21"/>
                <w:szCs w:val="21"/>
              </w:rPr>
            </w:pPr>
            <w:r>
              <w:rPr>
                <w:rFonts w:hint="eastAsia" w:ascii="宋体" w:hAnsi="宋体"/>
                <w:sz w:val="21"/>
                <w:szCs w:val="21"/>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626" w:type="dxa"/>
            <w:tcBorders>
              <w:top w:val="single" w:color="000000" w:sz="6" w:space="0"/>
              <w:left w:val="single" w:color="000000" w:sz="6" w:space="0"/>
              <w:bottom w:val="single" w:color="000000" w:sz="6" w:space="0"/>
              <w:right w:val="single" w:color="000000" w:sz="6" w:space="0"/>
            </w:tcBorders>
          </w:tcPr>
          <w:p>
            <w:pPr>
              <w:textAlignment w:val="auto"/>
              <w:rPr>
                <w:rFonts w:ascii="宋体" w:hAnsi="宋体"/>
                <w:sz w:val="21"/>
                <w:szCs w:val="21"/>
              </w:rPr>
            </w:pPr>
          </w:p>
        </w:tc>
        <w:tc>
          <w:tcPr>
            <w:tcW w:w="1802" w:type="dxa"/>
            <w:tcBorders>
              <w:top w:val="single" w:color="000000" w:sz="6" w:space="0"/>
              <w:left w:val="single" w:color="000000" w:sz="6" w:space="0"/>
              <w:bottom w:val="single" w:color="000000" w:sz="6" w:space="0"/>
              <w:right w:val="single" w:color="000000" w:sz="6" w:space="0"/>
            </w:tcBorders>
          </w:tcPr>
          <w:p>
            <w:pPr>
              <w:jc w:val="right"/>
              <w:textAlignment w:val="auto"/>
              <w:rPr>
                <w:rFonts w:ascii="宋体" w:hAnsi="宋体"/>
                <w:sz w:val="21"/>
                <w:szCs w:val="21"/>
              </w:rPr>
            </w:pPr>
          </w:p>
        </w:tc>
        <w:tc>
          <w:tcPr>
            <w:tcW w:w="1917" w:type="dxa"/>
            <w:tcBorders>
              <w:top w:val="single" w:color="000000" w:sz="6" w:space="0"/>
              <w:left w:val="single" w:color="000000" w:sz="6" w:space="0"/>
              <w:bottom w:val="single" w:color="000000" w:sz="6" w:space="0"/>
              <w:right w:val="single" w:color="000000" w:sz="6" w:space="0"/>
            </w:tcBorders>
          </w:tcPr>
          <w:p>
            <w:pPr>
              <w:textAlignment w:val="auto"/>
              <w:rPr>
                <w:rFonts w:ascii="宋体" w:hAnsi="宋体"/>
                <w:sz w:val="21"/>
                <w:szCs w:val="21"/>
              </w:rPr>
            </w:pPr>
          </w:p>
        </w:tc>
        <w:tc>
          <w:tcPr>
            <w:tcW w:w="2037" w:type="dxa"/>
            <w:tcBorders>
              <w:top w:val="single" w:color="000000" w:sz="6" w:space="0"/>
              <w:left w:val="single" w:color="000000" w:sz="6" w:space="0"/>
              <w:bottom w:val="single" w:color="000000" w:sz="6" w:space="0"/>
              <w:right w:val="single" w:color="000000" w:sz="6" w:space="0"/>
            </w:tcBorders>
          </w:tcPr>
          <w:p>
            <w:pPr>
              <w:textAlignment w:val="auto"/>
              <w:rPr>
                <w:rFonts w:ascii="宋体" w:hAnsi="宋体"/>
                <w:sz w:val="21"/>
                <w:szCs w:val="21"/>
              </w:rPr>
            </w:pPr>
          </w:p>
        </w:tc>
        <w:tc>
          <w:tcPr>
            <w:tcW w:w="993" w:type="dxa"/>
            <w:tcBorders>
              <w:top w:val="single" w:color="000000" w:sz="6" w:space="0"/>
              <w:left w:val="single" w:color="000000" w:sz="6" w:space="0"/>
              <w:bottom w:val="single" w:color="000000" w:sz="6" w:space="0"/>
              <w:right w:val="single" w:color="000000" w:sz="6" w:space="0"/>
            </w:tcBorders>
          </w:tcPr>
          <w:p>
            <w:pPr>
              <w:textAlignment w:val="auto"/>
              <w:rPr>
                <w:rFonts w:ascii="宋体" w:hAnsi="宋体"/>
                <w:sz w:val="21"/>
                <w:szCs w:val="21"/>
              </w:rPr>
            </w:pPr>
          </w:p>
        </w:tc>
        <w:tc>
          <w:tcPr>
            <w:tcW w:w="993" w:type="dxa"/>
            <w:tcBorders>
              <w:top w:val="single" w:color="000000" w:sz="6" w:space="0"/>
              <w:left w:val="single" w:color="000000" w:sz="6" w:space="0"/>
              <w:bottom w:val="single" w:color="000000" w:sz="6" w:space="0"/>
              <w:right w:val="single" w:color="000000" w:sz="6" w:space="0"/>
            </w:tcBorders>
          </w:tcPr>
          <w:p>
            <w:pPr>
              <w:textAlignment w:val="auto"/>
              <w:rPr>
                <w:rFonts w:ascii="宋体" w:hAnsi="宋体"/>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626" w:type="dxa"/>
            <w:tcBorders>
              <w:top w:val="single" w:color="000000" w:sz="6" w:space="0"/>
              <w:left w:val="single" w:color="000000" w:sz="6" w:space="0"/>
              <w:bottom w:val="single" w:color="000000" w:sz="6" w:space="0"/>
              <w:right w:val="single" w:color="000000" w:sz="6" w:space="0"/>
            </w:tcBorders>
          </w:tcPr>
          <w:p>
            <w:pPr>
              <w:textAlignment w:val="auto"/>
              <w:rPr>
                <w:rFonts w:ascii="宋体" w:hAnsi="宋体"/>
                <w:sz w:val="21"/>
                <w:szCs w:val="21"/>
              </w:rPr>
            </w:pPr>
          </w:p>
        </w:tc>
        <w:tc>
          <w:tcPr>
            <w:tcW w:w="1802" w:type="dxa"/>
            <w:tcBorders>
              <w:top w:val="single" w:color="000000" w:sz="6" w:space="0"/>
              <w:left w:val="single" w:color="000000" w:sz="6" w:space="0"/>
              <w:bottom w:val="single" w:color="000000" w:sz="6" w:space="0"/>
              <w:right w:val="single" w:color="000000" w:sz="6" w:space="0"/>
            </w:tcBorders>
          </w:tcPr>
          <w:p>
            <w:pPr>
              <w:textAlignment w:val="auto"/>
              <w:rPr>
                <w:rFonts w:ascii="宋体" w:hAnsi="宋体"/>
                <w:sz w:val="21"/>
                <w:szCs w:val="21"/>
              </w:rPr>
            </w:pPr>
          </w:p>
        </w:tc>
        <w:tc>
          <w:tcPr>
            <w:tcW w:w="1917" w:type="dxa"/>
            <w:tcBorders>
              <w:top w:val="single" w:color="000000" w:sz="6" w:space="0"/>
              <w:left w:val="single" w:color="000000" w:sz="6" w:space="0"/>
              <w:bottom w:val="single" w:color="000000" w:sz="6" w:space="0"/>
              <w:right w:val="single" w:color="000000" w:sz="6" w:space="0"/>
            </w:tcBorders>
          </w:tcPr>
          <w:p>
            <w:pPr>
              <w:textAlignment w:val="auto"/>
              <w:rPr>
                <w:rFonts w:ascii="宋体" w:hAnsi="宋体"/>
                <w:sz w:val="21"/>
                <w:szCs w:val="21"/>
              </w:rPr>
            </w:pPr>
          </w:p>
        </w:tc>
        <w:tc>
          <w:tcPr>
            <w:tcW w:w="2037" w:type="dxa"/>
            <w:tcBorders>
              <w:top w:val="single" w:color="000000" w:sz="6" w:space="0"/>
              <w:left w:val="single" w:color="000000" w:sz="6" w:space="0"/>
              <w:bottom w:val="single" w:color="000000" w:sz="6" w:space="0"/>
              <w:right w:val="single" w:color="000000" w:sz="6" w:space="0"/>
            </w:tcBorders>
          </w:tcPr>
          <w:p>
            <w:pPr>
              <w:textAlignment w:val="auto"/>
              <w:rPr>
                <w:rFonts w:ascii="宋体" w:hAnsi="宋体"/>
                <w:sz w:val="21"/>
                <w:szCs w:val="21"/>
              </w:rPr>
            </w:pPr>
          </w:p>
        </w:tc>
        <w:tc>
          <w:tcPr>
            <w:tcW w:w="993" w:type="dxa"/>
            <w:tcBorders>
              <w:top w:val="single" w:color="000000" w:sz="6" w:space="0"/>
              <w:left w:val="single" w:color="000000" w:sz="6" w:space="0"/>
              <w:bottom w:val="single" w:color="000000" w:sz="6" w:space="0"/>
              <w:right w:val="single" w:color="000000" w:sz="6" w:space="0"/>
            </w:tcBorders>
          </w:tcPr>
          <w:p>
            <w:pPr>
              <w:textAlignment w:val="auto"/>
              <w:rPr>
                <w:rFonts w:ascii="宋体" w:hAnsi="宋体"/>
                <w:sz w:val="21"/>
                <w:szCs w:val="21"/>
              </w:rPr>
            </w:pPr>
          </w:p>
        </w:tc>
        <w:tc>
          <w:tcPr>
            <w:tcW w:w="993" w:type="dxa"/>
            <w:tcBorders>
              <w:top w:val="single" w:color="000000" w:sz="6" w:space="0"/>
              <w:left w:val="single" w:color="000000" w:sz="6" w:space="0"/>
              <w:bottom w:val="single" w:color="000000" w:sz="6" w:space="0"/>
              <w:right w:val="single" w:color="000000" w:sz="6" w:space="0"/>
            </w:tcBorders>
          </w:tcPr>
          <w:p>
            <w:pPr>
              <w:textAlignment w:val="auto"/>
              <w:rPr>
                <w:rFonts w:ascii="宋体" w:hAnsi="宋体"/>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626" w:type="dxa"/>
            <w:tcBorders>
              <w:top w:val="single" w:color="000000" w:sz="6" w:space="0"/>
              <w:left w:val="single" w:color="000000" w:sz="6" w:space="0"/>
              <w:bottom w:val="single" w:color="000000" w:sz="6" w:space="0"/>
              <w:right w:val="single" w:color="000000" w:sz="6" w:space="0"/>
            </w:tcBorders>
          </w:tcPr>
          <w:p>
            <w:pPr>
              <w:textAlignment w:val="auto"/>
              <w:rPr>
                <w:rFonts w:ascii="宋体" w:hAnsi="宋体"/>
                <w:sz w:val="21"/>
                <w:szCs w:val="21"/>
              </w:rPr>
            </w:pPr>
          </w:p>
        </w:tc>
        <w:tc>
          <w:tcPr>
            <w:tcW w:w="1802" w:type="dxa"/>
            <w:tcBorders>
              <w:top w:val="single" w:color="000000" w:sz="6" w:space="0"/>
              <w:left w:val="single" w:color="000000" w:sz="6" w:space="0"/>
              <w:bottom w:val="single" w:color="000000" w:sz="6" w:space="0"/>
              <w:right w:val="single" w:color="000000" w:sz="6" w:space="0"/>
            </w:tcBorders>
          </w:tcPr>
          <w:p>
            <w:pPr>
              <w:textAlignment w:val="auto"/>
              <w:rPr>
                <w:rFonts w:ascii="宋体" w:hAnsi="宋体"/>
                <w:sz w:val="21"/>
                <w:szCs w:val="21"/>
              </w:rPr>
            </w:pPr>
          </w:p>
        </w:tc>
        <w:tc>
          <w:tcPr>
            <w:tcW w:w="1917" w:type="dxa"/>
            <w:tcBorders>
              <w:top w:val="single" w:color="000000" w:sz="6" w:space="0"/>
              <w:left w:val="single" w:color="000000" w:sz="6" w:space="0"/>
              <w:bottom w:val="single" w:color="000000" w:sz="6" w:space="0"/>
              <w:right w:val="single" w:color="000000" w:sz="6" w:space="0"/>
            </w:tcBorders>
          </w:tcPr>
          <w:p>
            <w:pPr>
              <w:textAlignment w:val="auto"/>
              <w:rPr>
                <w:rFonts w:ascii="宋体" w:hAnsi="宋体"/>
                <w:sz w:val="21"/>
                <w:szCs w:val="21"/>
              </w:rPr>
            </w:pPr>
          </w:p>
        </w:tc>
        <w:tc>
          <w:tcPr>
            <w:tcW w:w="2037" w:type="dxa"/>
            <w:tcBorders>
              <w:top w:val="single" w:color="000000" w:sz="6" w:space="0"/>
              <w:left w:val="single" w:color="000000" w:sz="6" w:space="0"/>
              <w:bottom w:val="single" w:color="000000" w:sz="6" w:space="0"/>
              <w:right w:val="single" w:color="000000" w:sz="6" w:space="0"/>
            </w:tcBorders>
          </w:tcPr>
          <w:p>
            <w:pPr>
              <w:textAlignment w:val="auto"/>
              <w:rPr>
                <w:rFonts w:ascii="宋体" w:hAnsi="宋体"/>
                <w:sz w:val="21"/>
                <w:szCs w:val="21"/>
              </w:rPr>
            </w:pPr>
          </w:p>
        </w:tc>
        <w:tc>
          <w:tcPr>
            <w:tcW w:w="993" w:type="dxa"/>
            <w:tcBorders>
              <w:top w:val="single" w:color="000000" w:sz="6" w:space="0"/>
              <w:left w:val="single" w:color="000000" w:sz="6" w:space="0"/>
              <w:bottom w:val="single" w:color="000000" w:sz="6" w:space="0"/>
              <w:right w:val="single" w:color="000000" w:sz="6" w:space="0"/>
            </w:tcBorders>
          </w:tcPr>
          <w:p>
            <w:pPr>
              <w:textAlignment w:val="auto"/>
              <w:rPr>
                <w:rFonts w:ascii="宋体" w:hAnsi="宋体"/>
                <w:sz w:val="21"/>
                <w:szCs w:val="21"/>
              </w:rPr>
            </w:pPr>
          </w:p>
        </w:tc>
        <w:tc>
          <w:tcPr>
            <w:tcW w:w="993" w:type="dxa"/>
            <w:tcBorders>
              <w:top w:val="single" w:color="000000" w:sz="6" w:space="0"/>
              <w:left w:val="single" w:color="000000" w:sz="6" w:space="0"/>
              <w:bottom w:val="single" w:color="000000" w:sz="6" w:space="0"/>
              <w:right w:val="single" w:color="000000" w:sz="6" w:space="0"/>
            </w:tcBorders>
          </w:tcPr>
          <w:p>
            <w:pPr>
              <w:textAlignment w:val="auto"/>
              <w:rPr>
                <w:rFonts w:ascii="宋体" w:hAnsi="宋体"/>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626" w:type="dxa"/>
            <w:tcBorders>
              <w:top w:val="single" w:color="000000" w:sz="6" w:space="0"/>
              <w:left w:val="single" w:color="000000" w:sz="6" w:space="0"/>
              <w:bottom w:val="single" w:color="000000" w:sz="6" w:space="0"/>
              <w:right w:val="single" w:color="000000" w:sz="6" w:space="0"/>
            </w:tcBorders>
          </w:tcPr>
          <w:p>
            <w:pPr>
              <w:textAlignment w:val="auto"/>
              <w:rPr>
                <w:rFonts w:ascii="宋体" w:hAnsi="宋体"/>
                <w:sz w:val="21"/>
                <w:szCs w:val="21"/>
              </w:rPr>
            </w:pPr>
          </w:p>
        </w:tc>
        <w:tc>
          <w:tcPr>
            <w:tcW w:w="1802" w:type="dxa"/>
            <w:tcBorders>
              <w:top w:val="single" w:color="000000" w:sz="6" w:space="0"/>
              <w:left w:val="single" w:color="000000" w:sz="6" w:space="0"/>
              <w:bottom w:val="single" w:color="000000" w:sz="6" w:space="0"/>
              <w:right w:val="single" w:color="000000" w:sz="6" w:space="0"/>
            </w:tcBorders>
          </w:tcPr>
          <w:p>
            <w:pPr>
              <w:textAlignment w:val="auto"/>
              <w:rPr>
                <w:rFonts w:ascii="宋体" w:hAnsi="宋体"/>
                <w:sz w:val="21"/>
                <w:szCs w:val="21"/>
              </w:rPr>
            </w:pPr>
          </w:p>
        </w:tc>
        <w:tc>
          <w:tcPr>
            <w:tcW w:w="1917" w:type="dxa"/>
            <w:tcBorders>
              <w:top w:val="single" w:color="000000" w:sz="6" w:space="0"/>
              <w:left w:val="single" w:color="000000" w:sz="6" w:space="0"/>
              <w:bottom w:val="single" w:color="000000" w:sz="6" w:space="0"/>
              <w:right w:val="single" w:color="000000" w:sz="6" w:space="0"/>
            </w:tcBorders>
          </w:tcPr>
          <w:p>
            <w:pPr>
              <w:textAlignment w:val="auto"/>
              <w:rPr>
                <w:rFonts w:ascii="宋体" w:hAnsi="宋体"/>
                <w:sz w:val="21"/>
                <w:szCs w:val="21"/>
              </w:rPr>
            </w:pPr>
          </w:p>
        </w:tc>
        <w:tc>
          <w:tcPr>
            <w:tcW w:w="2037" w:type="dxa"/>
            <w:tcBorders>
              <w:top w:val="single" w:color="000000" w:sz="6" w:space="0"/>
              <w:left w:val="single" w:color="000000" w:sz="6" w:space="0"/>
              <w:bottom w:val="single" w:color="000000" w:sz="6" w:space="0"/>
              <w:right w:val="single" w:color="000000" w:sz="6" w:space="0"/>
            </w:tcBorders>
          </w:tcPr>
          <w:p>
            <w:pPr>
              <w:textAlignment w:val="auto"/>
              <w:rPr>
                <w:rFonts w:ascii="宋体" w:hAnsi="宋体"/>
                <w:sz w:val="21"/>
                <w:szCs w:val="21"/>
              </w:rPr>
            </w:pPr>
          </w:p>
        </w:tc>
        <w:tc>
          <w:tcPr>
            <w:tcW w:w="993" w:type="dxa"/>
            <w:tcBorders>
              <w:top w:val="single" w:color="000000" w:sz="6" w:space="0"/>
              <w:left w:val="single" w:color="000000" w:sz="6" w:space="0"/>
              <w:bottom w:val="single" w:color="000000" w:sz="6" w:space="0"/>
              <w:right w:val="single" w:color="000000" w:sz="6" w:space="0"/>
            </w:tcBorders>
          </w:tcPr>
          <w:p>
            <w:pPr>
              <w:textAlignment w:val="auto"/>
              <w:rPr>
                <w:rFonts w:ascii="宋体" w:hAnsi="宋体"/>
                <w:sz w:val="21"/>
                <w:szCs w:val="21"/>
              </w:rPr>
            </w:pPr>
          </w:p>
        </w:tc>
        <w:tc>
          <w:tcPr>
            <w:tcW w:w="993" w:type="dxa"/>
            <w:tcBorders>
              <w:top w:val="single" w:color="000000" w:sz="6" w:space="0"/>
              <w:left w:val="single" w:color="000000" w:sz="6" w:space="0"/>
              <w:bottom w:val="single" w:color="000000" w:sz="6" w:space="0"/>
              <w:right w:val="single" w:color="000000" w:sz="6" w:space="0"/>
            </w:tcBorders>
          </w:tcPr>
          <w:p>
            <w:pPr>
              <w:textAlignment w:val="auto"/>
              <w:rPr>
                <w:rFonts w:ascii="宋体" w:hAnsi="宋体"/>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626" w:type="dxa"/>
            <w:tcBorders>
              <w:top w:val="single" w:color="000000" w:sz="6" w:space="0"/>
              <w:left w:val="single" w:color="000000" w:sz="6" w:space="0"/>
              <w:bottom w:val="single" w:color="000000" w:sz="6" w:space="0"/>
              <w:right w:val="single" w:color="000000" w:sz="6" w:space="0"/>
            </w:tcBorders>
          </w:tcPr>
          <w:p>
            <w:pPr>
              <w:textAlignment w:val="auto"/>
              <w:rPr>
                <w:rFonts w:ascii="宋体" w:hAnsi="宋体"/>
                <w:sz w:val="21"/>
                <w:szCs w:val="21"/>
              </w:rPr>
            </w:pPr>
          </w:p>
        </w:tc>
        <w:tc>
          <w:tcPr>
            <w:tcW w:w="1802" w:type="dxa"/>
            <w:tcBorders>
              <w:top w:val="single" w:color="000000" w:sz="6" w:space="0"/>
              <w:left w:val="single" w:color="000000" w:sz="6" w:space="0"/>
              <w:bottom w:val="single" w:color="000000" w:sz="6" w:space="0"/>
              <w:right w:val="single" w:color="000000" w:sz="6" w:space="0"/>
            </w:tcBorders>
          </w:tcPr>
          <w:p>
            <w:pPr>
              <w:textAlignment w:val="auto"/>
              <w:rPr>
                <w:rFonts w:ascii="宋体" w:hAnsi="宋体"/>
                <w:sz w:val="21"/>
                <w:szCs w:val="21"/>
              </w:rPr>
            </w:pPr>
          </w:p>
        </w:tc>
        <w:tc>
          <w:tcPr>
            <w:tcW w:w="1917" w:type="dxa"/>
            <w:tcBorders>
              <w:top w:val="single" w:color="000000" w:sz="6" w:space="0"/>
              <w:left w:val="single" w:color="000000" w:sz="6" w:space="0"/>
              <w:bottom w:val="single" w:color="000000" w:sz="6" w:space="0"/>
              <w:right w:val="single" w:color="000000" w:sz="6" w:space="0"/>
            </w:tcBorders>
          </w:tcPr>
          <w:p>
            <w:pPr>
              <w:textAlignment w:val="auto"/>
              <w:rPr>
                <w:rFonts w:ascii="宋体" w:hAnsi="宋体"/>
                <w:sz w:val="21"/>
                <w:szCs w:val="21"/>
              </w:rPr>
            </w:pPr>
          </w:p>
        </w:tc>
        <w:tc>
          <w:tcPr>
            <w:tcW w:w="2037" w:type="dxa"/>
            <w:tcBorders>
              <w:top w:val="single" w:color="000000" w:sz="6" w:space="0"/>
              <w:left w:val="single" w:color="000000" w:sz="6" w:space="0"/>
              <w:bottom w:val="single" w:color="000000" w:sz="6" w:space="0"/>
              <w:right w:val="single" w:color="000000" w:sz="6" w:space="0"/>
            </w:tcBorders>
          </w:tcPr>
          <w:p>
            <w:pPr>
              <w:textAlignment w:val="auto"/>
              <w:rPr>
                <w:rFonts w:ascii="宋体" w:hAnsi="宋体"/>
                <w:sz w:val="21"/>
                <w:szCs w:val="21"/>
              </w:rPr>
            </w:pPr>
          </w:p>
        </w:tc>
        <w:tc>
          <w:tcPr>
            <w:tcW w:w="993" w:type="dxa"/>
            <w:tcBorders>
              <w:top w:val="single" w:color="000000" w:sz="6" w:space="0"/>
              <w:left w:val="single" w:color="000000" w:sz="6" w:space="0"/>
              <w:bottom w:val="single" w:color="000000" w:sz="6" w:space="0"/>
              <w:right w:val="single" w:color="000000" w:sz="6" w:space="0"/>
            </w:tcBorders>
          </w:tcPr>
          <w:p>
            <w:pPr>
              <w:textAlignment w:val="auto"/>
              <w:rPr>
                <w:rFonts w:ascii="宋体" w:hAnsi="宋体"/>
                <w:sz w:val="21"/>
                <w:szCs w:val="21"/>
              </w:rPr>
            </w:pPr>
          </w:p>
        </w:tc>
        <w:tc>
          <w:tcPr>
            <w:tcW w:w="993" w:type="dxa"/>
            <w:tcBorders>
              <w:top w:val="single" w:color="000000" w:sz="6" w:space="0"/>
              <w:left w:val="single" w:color="000000" w:sz="6" w:space="0"/>
              <w:bottom w:val="single" w:color="000000" w:sz="6" w:space="0"/>
              <w:right w:val="single" w:color="000000" w:sz="6" w:space="0"/>
            </w:tcBorders>
          </w:tcPr>
          <w:p>
            <w:pPr>
              <w:textAlignment w:val="auto"/>
              <w:rPr>
                <w:rFonts w:ascii="宋体" w:hAnsi="宋体"/>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626" w:type="dxa"/>
            <w:tcBorders>
              <w:top w:val="single" w:color="000000" w:sz="6" w:space="0"/>
              <w:left w:val="single" w:color="000000" w:sz="6" w:space="0"/>
              <w:bottom w:val="single" w:color="000000" w:sz="6" w:space="0"/>
              <w:right w:val="single" w:color="000000" w:sz="6" w:space="0"/>
            </w:tcBorders>
          </w:tcPr>
          <w:p>
            <w:pPr>
              <w:textAlignment w:val="auto"/>
              <w:rPr>
                <w:rFonts w:ascii="宋体" w:hAnsi="宋体"/>
                <w:sz w:val="21"/>
                <w:szCs w:val="21"/>
              </w:rPr>
            </w:pPr>
          </w:p>
        </w:tc>
        <w:tc>
          <w:tcPr>
            <w:tcW w:w="1802" w:type="dxa"/>
            <w:tcBorders>
              <w:top w:val="single" w:color="000000" w:sz="6" w:space="0"/>
              <w:left w:val="single" w:color="000000" w:sz="6" w:space="0"/>
              <w:bottom w:val="single" w:color="000000" w:sz="6" w:space="0"/>
              <w:right w:val="single" w:color="000000" w:sz="6" w:space="0"/>
            </w:tcBorders>
          </w:tcPr>
          <w:p>
            <w:pPr>
              <w:textAlignment w:val="auto"/>
              <w:rPr>
                <w:rFonts w:ascii="宋体" w:hAnsi="宋体"/>
                <w:sz w:val="21"/>
                <w:szCs w:val="21"/>
              </w:rPr>
            </w:pPr>
          </w:p>
        </w:tc>
        <w:tc>
          <w:tcPr>
            <w:tcW w:w="1917" w:type="dxa"/>
            <w:tcBorders>
              <w:top w:val="single" w:color="000000" w:sz="6" w:space="0"/>
              <w:left w:val="single" w:color="000000" w:sz="6" w:space="0"/>
              <w:bottom w:val="single" w:color="000000" w:sz="6" w:space="0"/>
              <w:right w:val="single" w:color="000000" w:sz="6" w:space="0"/>
            </w:tcBorders>
          </w:tcPr>
          <w:p>
            <w:pPr>
              <w:textAlignment w:val="auto"/>
              <w:rPr>
                <w:rFonts w:ascii="宋体" w:hAnsi="宋体"/>
                <w:sz w:val="21"/>
                <w:szCs w:val="21"/>
              </w:rPr>
            </w:pPr>
          </w:p>
        </w:tc>
        <w:tc>
          <w:tcPr>
            <w:tcW w:w="2037" w:type="dxa"/>
            <w:tcBorders>
              <w:top w:val="single" w:color="000000" w:sz="6" w:space="0"/>
              <w:left w:val="single" w:color="000000" w:sz="6" w:space="0"/>
              <w:bottom w:val="single" w:color="000000" w:sz="6" w:space="0"/>
              <w:right w:val="single" w:color="000000" w:sz="6" w:space="0"/>
            </w:tcBorders>
          </w:tcPr>
          <w:p>
            <w:pPr>
              <w:textAlignment w:val="auto"/>
              <w:rPr>
                <w:rFonts w:ascii="宋体" w:hAnsi="宋体"/>
                <w:sz w:val="21"/>
                <w:szCs w:val="21"/>
              </w:rPr>
            </w:pPr>
          </w:p>
        </w:tc>
        <w:tc>
          <w:tcPr>
            <w:tcW w:w="993" w:type="dxa"/>
            <w:tcBorders>
              <w:top w:val="single" w:color="000000" w:sz="6" w:space="0"/>
              <w:left w:val="single" w:color="000000" w:sz="6" w:space="0"/>
              <w:bottom w:val="single" w:color="000000" w:sz="6" w:space="0"/>
              <w:right w:val="single" w:color="000000" w:sz="6" w:space="0"/>
            </w:tcBorders>
          </w:tcPr>
          <w:p>
            <w:pPr>
              <w:textAlignment w:val="auto"/>
              <w:rPr>
                <w:rFonts w:ascii="宋体" w:hAnsi="宋体"/>
                <w:sz w:val="21"/>
                <w:szCs w:val="21"/>
              </w:rPr>
            </w:pPr>
          </w:p>
        </w:tc>
        <w:tc>
          <w:tcPr>
            <w:tcW w:w="993" w:type="dxa"/>
            <w:tcBorders>
              <w:top w:val="single" w:color="000000" w:sz="6" w:space="0"/>
              <w:left w:val="single" w:color="000000" w:sz="6" w:space="0"/>
              <w:bottom w:val="single" w:color="000000" w:sz="6" w:space="0"/>
              <w:right w:val="single" w:color="000000" w:sz="6" w:space="0"/>
            </w:tcBorders>
          </w:tcPr>
          <w:p>
            <w:pPr>
              <w:textAlignment w:val="auto"/>
              <w:rPr>
                <w:rFonts w:ascii="宋体" w:hAnsi="宋体"/>
                <w:sz w:val="21"/>
                <w:szCs w:val="21"/>
              </w:rPr>
            </w:pPr>
          </w:p>
        </w:tc>
      </w:tr>
    </w:tbl>
    <w:p>
      <w:pPr>
        <w:textAlignment w:val="auto"/>
        <w:rPr>
          <w:rFonts w:ascii="宋体" w:hAnsi="宋体"/>
          <w:sz w:val="21"/>
          <w:szCs w:val="21"/>
        </w:rPr>
      </w:pPr>
    </w:p>
    <w:p>
      <w:pPr>
        <w:textAlignment w:val="auto"/>
        <w:rPr>
          <w:rFonts w:ascii="宋体" w:hAnsi="宋体"/>
          <w:sz w:val="21"/>
          <w:szCs w:val="21"/>
        </w:rPr>
      </w:pPr>
      <w:r>
        <w:rPr>
          <w:rFonts w:hint="eastAsia" w:ascii="宋体" w:hAnsi="宋体"/>
          <w:sz w:val="21"/>
          <w:szCs w:val="21"/>
        </w:rPr>
        <w:t xml:space="preserve">             服务供应商(公章) :</w:t>
      </w:r>
    </w:p>
    <w:p>
      <w:pPr>
        <w:tabs>
          <w:tab w:val="left" w:pos="1335"/>
        </w:tabs>
        <w:textAlignment w:val="auto"/>
        <w:rPr>
          <w:rFonts w:ascii="宋体" w:hAnsi="宋体"/>
          <w:sz w:val="21"/>
          <w:szCs w:val="21"/>
        </w:rPr>
      </w:pPr>
      <w:r>
        <w:rPr>
          <w:rFonts w:hint="eastAsia" w:ascii="宋体" w:hAnsi="宋体"/>
          <w:sz w:val="21"/>
          <w:szCs w:val="21"/>
        </w:rPr>
        <w:tab/>
      </w:r>
      <w:r>
        <w:rPr>
          <w:rFonts w:hint="eastAsia" w:ascii="宋体" w:hAnsi="宋体"/>
          <w:sz w:val="21"/>
          <w:szCs w:val="21"/>
        </w:rPr>
        <w:t>服务供应商代表(签字) :</w:t>
      </w:r>
    </w:p>
    <w:p>
      <w:pPr>
        <w:rPr>
          <w:rFonts w:ascii="宋体" w:hAnsi="宋体"/>
          <w:sz w:val="21"/>
          <w:szCs w:val="21"/>
        </w:rPr>
      </w:pPr>
      <w:r>
        <w:rPr>
          <w:rFonts w:hint="eastAsia" w:ascii="宋体" w:hAnsi="宋体"/>
          <w:sz w:val="21"/>
          <w:szCs w:val="21"/>
        </w:rPr>
        <w:tab/>
      </w:r>
      <w:r>
        <w:rPr>
          <w:rFonts w:hint="eastAsia" w:ascii="宋体" w:hAnsi="宋体"/>
          <w:sz w:val="21"/>
          <w:szCs w:val="21"/>
        </w:rPr>
        <w:t xml:space="preserve">         日</w:t>
      </w:r>
      <w:r>
        <w:rPr>
          <w:rFonts w:hint="eastAsia" w:ascii="宋体" w:hAnsi="宋体"/>
          <w:sz w:val="21"/>
          <w:szCs w:val="21"/>
        </w:rPr>
        <w:tab/>
      </w:r>
      <w:r>
        <w:rPr>
          <w:rFonts w:hint="eastAsia" w:ascii="宋体" w:hAnsi="宋体"/>
          <w:sz w:val="21"/>
          <w:szCs w:val="21"/>
        </w:rPr>
        <w:t xml:space="preserve">      期：</w:t>
      </w:r>
    </w:p>
    <w:p>
      <w:pPr>
        <w:pStyle w:val="136"/>
        <w:numPr>
          <w:ilvl w:val="0"/>
          <w:numId w:val="0"/>
        </w:numPr>
        <w:jc w:val="both"/>
      </w:pPr>
      <w:bookmarkStart w:id="165" w:name="_Toc99718182"/>
      <w:bookmarkStart w:id="166" w:name="_Toc116879997"/>
      <w:bookmarkStart w:id="167" w:name="_Toc99881800"/>
      <w:bookmarkStart w:id="168" w:name="_Toc87810282"/>
      <w:r>
        <w:rPr>
          <w:rFonts w:hint="eastAsia"/>
        </w:rPr>
        <w:t>三、完整的项目管理方案</w:t>
      </w:r>
    </w:p>
    <w:bookmarkEnd w:id="165"/>
    <w:bookmarkEnd w:id="166"/>
    <w:bookmarkEnd w:id="167"/>
    <w:p>
      <w:pPr>
        <w:pStyle w:val="136"/>
        <w:numPr>
          <w:ilvl w:val="0"/>
          <w:numId w:val="0"/>
        </w:numPr>
        <w:jc w:val="both"/>
      </w:pPr>
      <w:bookmarkStart w:id="169" w:name="_Toc99718183"/>
      <w:bookmarkStart w:id="170" w:name="_Toc99881801"/>
      <w:bookmarkStart w:id="171" w:name="_Toc116879998"/>
      <w:r>
        <w:rPr>
          <w:rFonts w:hint="eastAsia"/>
        </w:rPr>
        <w:t>四、服务要求的应答</w:t>
      </w:r>
    </w:p>
    <w:p>
      <w:pPr>
        <w:pStyle w:val="136"/>
        <w:numPr>
          <w:ilvl w:val="0"/>
          <w:numId w:val="0"/>
        </w:numPr>
        <w:jc w:val="both"/>
      </w:pPr>
      <w:r>
        <w:rPr>
          <w:rFonts w:hint="eastAsia"/>
        </w:rPr>
        <w:t>五、采购文件要求和服务供应商认为需要提供的其它说明和资料</w:t>
      </w:r>
    </w:p>
    <w:bookmarkEnd w:id="125"/>
    <w:bookmarkEnd w:id="126"/>
    <w:bookmarkEnd w:id="127"/>
    <w:bookmarkEnd w:id="128"/>
    <w:bookmarkEnd w:id="129"/>
    <w:bookmarkEnd w:id="130"/>
    <w:bookmarkEnd w:id="168"/>
    <w:bookmarkEnd w:id="169"/>
    <w:bookmarkEnd w:id="170"/>
    <w:bookmarkEnd w:id="171"/>
    <w:p>
      <w:pPr>
        <w:widowControl/>
        <w:adjustRightInd/>
        <w:spacing w:line="240" w:lineRule="auto"/>
        <w:textAlignment w:val="auto"/>
      </w:pPr>
    </w:p>
    <w:sectPr>
      <w:type w:val="continuous"/>
      <w:pgSz w:w="11906" w:h="16838"/>
      <w:pgMar w:top="567" w:right="1134" w:bottom="1134" w:left="1417" w:header="624" w:footer="1134" w:gutter="0"/>
      <w:cols w:space="425" w:num="1"/>
      <w:formProt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Arial,Bold">
    <w:altName w:val="Arial"/>
    <w:panose1 w:val="00000000000000000000"/>
    <w:charset w:val="00"/>
    <w:family w:val="swiss"/>
    <w:pitch w:val="default"/>
    <w:sig w:usb0="00000000" w:usb1="00000000" w:usb2="00000000" w:usb3="00000000" w:csb0="00000001" w:csb1="00000000"/>
  </w:font>
  <w:font w:name="Garamond">
    <w:panose1 w:val="02020404030301010803"/>
    <w:charset w:val="00"/>
    <w:family w:val="roman"/>
    <w:pitch w:val="default"/>
    <w:sig w:usb0="00000287" w:usb1="00000000" w:usb2="00000000" w:usb3="00000000" w:csb0="0000009F" w:csb1="DFD70000"/>
  </w:font>
  <w:font w:name="Batang">
    <w:panose1 w:val="02030600000101010101"/>
    <w:charset w:val="81"/>
    <w:family w:val="auto"/>
    <w:pitch w:val="default"/>
    <w:sig w:usb0="B00002AF" w:usb1="69D77CFB" w:usb2="00000030" w:usb3="00000000" w:csb0="4008009F" w:csb1="DFD7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宋体’">
    <w:altName w:val="宋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both"/>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both"/>
    </w:pPr>
    <w:r>
      <w:rPr>
        <w:rFonts w:hint="eastAsia"/>
      </w:rPr>
      <w:t xml:space="preserve">                                                   采购文件</w:t>
    </w: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both"/>
    </w:pPr>
    <w:r>
      <w:rPr>
        <w:rFonts w:hint="eastAsia"/>
      </w:rPr>
      <w:t>中国仪器进出口（集团）公司                                                                自行采购文件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left"/>
    </w:pPr>
    <w:r>
      <w:rPr>
        <w:rFonts w:hint="eastAsia"/>
      </w:rPr>
      <w:t>防灾科技学院                                                                                      采购文件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left"/>
    </w:pPr>
    <w:r>
      <w:rPr>
        <w:rFonts w:hint="eastAsia"/>
      </w:rPr>
      <w:t>防灾科技学院                                                                                   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decimal"/>
      <w:lvlText w:val="（%1）"/>
      <w:lvlJc w:val="left"/>
      <w:pPr>
        <w:tabs>
          <w:tab w:val="left" w:pos="1200"/>
        </w:tabs>
        <w:ind w:left="1200" w:hanging="72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4"/>
    <w:multiLevelType w:val="multilevel"/>
    <w:tmpl w:val="00000004"/>
    <w:lvl w:ilvl="0" w:tentative="0">
      <w:start w:val="1"/>
      <w:numFmt w:val="bullet"/>
      <w:pStyle w:val="15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00000005"/>
    <w:multiLevelType w:val="multilevel"/>
    <w:tmpl w:val="00000005"/>
    <w:lvl w:ilvl="0" w:tentative="0">
      <w:start w:val="1"/>
      <w:numFmt w:val="decimal"/>
      <w:lvlText w:val="（%1）"/>
      <w:lvlJc w:val="left"/>
      <w:pPr>
        <w:tabs>
          <w:tab w:val="left" w:pos="1140"/>
        </w:tabs>
        <w:ind w:left="1140" w:hanging="720"/>
      </w:pPr>
      <w:rPr>
        <w:rFonts w:hint="eastAsia"/>
        <w:color w:val="auto"/>
        <w:lang w:val="en-US"/>
      </w:rPr>
    </w:lvl>
    <w:lvl w:ilvl="1" w:tentative="0">
      <w:start w:val="7"/>
      <w:numFmt w:val="decimal"/>
      <w:pStyle w:val="134"/>
      <w:lvlText w:val="（%2）"/>
      <w:lvlJc w:val="left"/>
      <w:pPr>
        <w:tabs>
          <w:tab w:val="left" w:pos="1560"/>
        </w:tabs>
        <w:ind w:left="1560" w:hanging="720"/>
      </w:pPr>
      <w:rPr>
        <w:rFonts w:hint="default" w:ascii="宋体" w:hAnsi="宋体"/>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0A"/>
    <w:multiLevelType w:val="multilevel"/>
    <w:tmpl w:val="0000000A"/>
    <w:lvl w:ilvl="0" w:tentative="0">
      <w:start w:val="1"/>
      <w:numFmt w:val="decimal"/>
      <w:lvlText w:val="（%1）"/>
      <w:lvlJc w:val="left"/>
      <w:pPr>
        <w:tabs>
          <w:tab w:val="left" w:pos="1021"/>
        </w:tabs>
        <w:ind w:left="1021" w:hanging="737"/>
      </w:pPr>
      <w:rPr>
        <w:rFonts w:hint="default"/>
        <w:i w:val="0"/>
        <w:iCs w:val="0"/>
        <w:color w:val="auto"/>
      </w:rPr>
    </w:lvl>
    <w:lvl w:ilvl="1" w:tentative="0">
      <w:start w:val="1"/>
      <w:numFmt w:val="decimal"/>
      <w:lvlText w:val="（%2）"/>
      <w:lvlJc w:val="left"/>
      <w:pPr>
        <w:tabs>
          <w:tab w:val="left" w:pos="1021"/>
        </w:tabs>
        <w:ind w:left="1021" w:hanging="737"/>
      </w:pPr>
      <w:rPr>
        <w:rFonts w:hint="default"/>
      </w:rPr>
    </w:lvl>
    <w:lvl w:ilvl="2" w:tentative="0">
      <w:start w:val="6"/>
      <w:numFmt w:val="japaneseCounting"/>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D"/>
    <w:multiLevelType w:val="multilevel"/>
    <w:tmpl w:val="0000000D"/>
    <w:lvl w:ilvl="0" w:tentative="0">
      <w:start w:val="1"/>
      <w:numFmt w:val="decimal"/>
      <w:pStyle w:val="10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00000F"/>
    <w:multiLevelType w:val="multilevel"/>
    <w:tmpl w:val="0000000F"/>
    <w:lvl w:ilvl="0" w:tentative="0">
      <w:start w:val="1"/>
      <w:numFmt w:val="decimal"/>
      <w:lvlText w:val="（%1）"/>
      <w:lvlJc w:val="left"/>
      <w:pPr>
        <w:tabs>
          <w:tab w:val="left" w:pos="1200"/>
        </w:tabs>
        <w:ind w:left="1200" w:hanging="720"/>
      </w:pPr>
      <w:rPr>
        <w:rFonts w:hint="default"/>
      </w:rPr>
    </w:lvl>
    <w:lvl w:ilvl="1" w:tentative="0">
      <w:start w:val="1"/>
      <w:numFmt w:val="upperLetter"/>
      <w:lvlText w:val="%2、"/>
      <w:lvlJc w:val="left"/>
      <w:pPr>
        <w:tabs>
          <w:tab w:val="left" w:pos="840"/>
        </w:tabs>
        <w:ind w:left="840" w:hanging="420"/>
      </w:pPr>
      <w:rPr>
        <w:rFonts w:ascii="宋体" w:hAnsi="宋体" w:eastAsia="宋体" w:cs="Times New Roman"/>
      </w:rPr>
    </w:lvl>
    <w:lvl w:ilvl="2" w:tentative="0">
      <w:start w:val="1"/>
      <w:numFmt w:val="lowerLetter"/>
      <w:lvlText w:val="%3."/>
      <w:lvlJc w:val="left"/>
      <w:pPr>
        <w:tabs>
          <w:tab w:val="left" w:pos="1260"/>
        </w:tabs>
        <w:ind w:left="1260" w:hanging="420"/>
      </w:pPr>
      <w:rPr>
        <w:rFonts w:hint="default"/>
      </w:rPr>
    </w:lvl>
    <w:lvl w:ilvl="3" w:tentative="0">
      <w:start w:val="2"/>
      <w:numFmt w:val="japaneseCounting"/>
      <w:lvlText w:val="%4、"/>
      <w:lvlJc w:val="left"/>
      <w:pPr>
        <w:tabs>
          <w:tab w:val="left" w:pos="1500"/>
        </w:tabs>
        <w:ind w:left="1500" w:hanging="420"/>
      </w:pPr>
      <w:rPr>
        <w:rFonts w:hint="default"/>
      </w:rPr>
    </w:lvl>
    <w:lvl w:ilvl="4" w:tentative="0">
      <w:start w:val="5"/>
      <w:numFmt w:val="decimal"/>
      <w:lvlText w:val="%5．"/>
      <w:lvlJc w:val="left"/>
      <w:pPr>
        <w:tabs>
          <w:tab w:val="left" w:pos="2400"/>
        </w:tabs>
        <w:ind w:left="2400" w:hanging="720"/>
      </w:pPr>
      <w:rPr>
        <w:rFonts w:hint="default"/>
      </w:rPr>
    </w:lvl>
    <w:lvl w:ilvl="5" w:tentative="0">
      <w:start w:val="2"/>
      <w:numFmt w:val="decimal"/>
      <w:lvlText w:val="%6、"/>
      <w:lvlJc w:val="left"/>
      <w:pPr>
        <w:tabs>
          <w:tab w:val="left" w:pos="2460"/>
        </w:tabs>
        <w:ind w:left="2460" w:hanging="360"/>
      </w:pPr>
      <w:rPr>
        <w:rFonts w:hint="default"/>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6"/>
    <w:multiLevelType w:val="multilevel"/>
    <w:tmpl w:val="00000016"/>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7"/>
    <w:multiLevelType w:val="multilevel"/>
    <w:tmpl w:val="00000017"/>
    <w:lvl w:ilvl="0" w:tentative="0">
      <w:start w:val="1"/>
      <w:numFmt w:val="upperLetter"/>
      <w:lvlText w:val="%1、"/>
      <w:lvlJc w:val="left"/>
      <w:pPr>
        <w:tabs>
          <w:tab w:val="left" w:pos="840"/>
        </w:tabs>
        <w:ind w:left="840" w:hanging="420"/>
      </w:pPr>
      <w:rPr>
        <w:rFonts w:ascii="宋体" w:hAnsi="宋体" w:eastAsia="宋体" w:cs="Times New Roman"/>
      </w:rPr>
    </w:lvl>
    <w:lvl w:ilvl="1" w:tentative="0">
      <w:start w:val="1"/>
      <w:numFmt w:val="decimal"/>
      <w:lvlText w:val="（%2）"/>
      <w:lvlJc w:val="left"/>
      <w:pPr>
        <w:tabs>
          <w:tab w:val="left" w:pos="1140"/>
        </w:tabs>
        <w:ind w:left="1140" w:hanging="720"/>
      </w:pPr>
      <w:rPr>
        <w:rFonts w:hint="eastAsia"/>
        <w:lang w:val="en-US"/>
      </w:rPr>
    </w:lvl>
    <w:lvl w:ilvl="2" w:tentative="0">
      <w:start w:val="1"/>
      <w:numFmt w:val="decimal"/>
      <w:lvlText w:val="(%3)"/>
      <w:lvlJc w:val="left"/>
      <w:pPr>
        <w:tabs>
          <w:tab w:val="left" w:pos="1200"/>
        </w:tabs>
        <w:ind w:left="1200" w:hanging="360"/>
      </w:pPr>
      <w:rPr>
        <w:rFonts w:hint="default"/>
      </w:rPr>
    </w:lvl>
    <w:lvl w:ilvl="3" w:tentative="0">
      <w:start w:val="3"/>
      <w:numFmt w:val="japaneseCounting"/>
      <w:lvlText w:val="%4、"/>
      <w:lvlJc w:val="left"/>
      <w:pPr>
        <w:tabs>
          <w:tab w:val="left" w:pos="1740"/>
        </w:tabs>
        <w:ind w:left="1740" w:hanging="480"/>
      </w:pPr>
      <w:rPr>
        <w:rFonts w:hint="default" w:ascii="Times New Roman" w:hAnsi="Times New Roman" w:cs="Times New Roman"/>
        <w:sz w:val="24"/>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9"/>
    <w:multiLevelType w:val="singleLevel"/>
    <w:tmpl w:val="00000019"/>
    <w:lvl w:ilvl="0" w:tentative="0">
      <w:start w:val="3"/>
      <w:numFmt w:val="decimal"/>
      <w:pStyle w:val="141"/>
      <w:lvlText w:val="%1."/>
      <w:lvlJc w:val="left"/>
      <w:pPr>
        <w:tabs>
          <w:tab w:val="left" w:pos="735"/>
        </w:tabs>
        <w:ind w:left="735" w:hanging="735"/>
      </w:pPr>
      <w:rPr>
        <w:rFonts w:hint="eastAsia"/>
      </w:rPr>
    </w:lvl>
  </w:abstractNum>
  <w:abstractNum w:abstractNumId="9">
    <w:nsid w:val="0000001D"/>
    <w:multiLevelType w:val="multilevel"/>
    <w:tmpl w:val="0000001D"/>
    <w:lvl w:ilvl="0" w:tentative="0">
      <w:start w:val="1"/>
      <w:numFmt w:val="chineseCountingThousand"/>
      <w:pStyle w:val="2"/>
      <w:suff w:val="nothing"/>
      <w:lvlText w:val="第%1部分"/>
      <w:lvlJc w:val="center"/>
      <w:pPr>
        <w:ind w:left="1556" w:firstLine="288"/>
      </w:pPr>
      <w:rPr>
        <w:rFonts w:hint="eastAsia"/>
        <w:sz w:val="28"/>
        <w:szCs w:val="28"/>
      </w:rPr>
    </w:lvl>
    <w:lvl w:ilvl="1" w:tentative="0">
      <w:start w:val="1"/>
      <w:numFmt w:val="chineseCountingThousand"/>
      <w:pStyle w:val="3"/>
      <w:suff w:val="nothing"/>
      <w:lvlText w:val="%2、"/>
      <w:lvlJc w:val="left"/>
      <w:pPr>
        <w:ind w:left="840" w:firstLine="0"/>
      </w:pPr>
      <w:rPr>
        <w:rFonts w:hint="eastAsia"/>
      </w:rPr>
    </w:lvl>
    <w:lvl w:ilvl="2" w:tentative="0">
      <w:start w:val="1"/>
      <w:numFmt w:val="chineseCountingThousand"/>
      <w:pStyle w:val="4"/>
      <w:suff w:val="nothing"/>
      <w:lvlText w:val="(%3)"/>
      <w:lvlJc w:val="left"/>
      <w:pPr>
        <w:ind w:left="0" w:firstLine="0"/>
      </w:pPr>
      <w:rPr>
        <w:rFonts w:hint="eastAsia"/>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10">
    <w:nsid w:val="00000027"/>
    <w:multiLevelType w:val="multilevel"/>
    <w:tmpl w:val="00000027"/>
    <w:lvl w:ilvl="0" w:tentative="0">
      <w:start w:val="1"/>
      <w:numFmt w:val="decimal"/>
      <w:lvlText w:val="（%1）"/>
      <w:lvlJc w:val="left"/>
      <w:pPr>
        <w:tabs>
          <w:tab w:val="left" w:pos="1200"/>
        </w:tabs>
        <w:ind w:left="1200" w:hanging="720"/>
      </w:pPr>
      <w:rPr>
        <w:rFonts w:hint="default"/>
      </w:rPr>
    </w:lvl>
    <w:lvl w:ilvl="1" w:tentative="0">
      <w:start w:val="1"/>
      <w:numFmt w:val="lowerLetter"/>
      <w:pStyle w:val="150"/>
      <w:lvlText w:val="%2)"/>
      <w:lvlJc w:val="left"/>
      <w:pPr>
        <w:tabs>
          <w:tab w:val="left" w:pos="840"/>
        </w:tabs>
        <w:ind w:left="840" w:hanging="420"/>
      </w:pPr>
    </w:lvl>
    <w:lvl w:ilvl="2" w:tentative="0">
      <w:start w:val="2"/>
      <w:numFmt w:val="japaneseCounting"/>
      <w:lvlText w:val="%3、"/>
      <w:lvlJc w:val="left"/>
      <w:pPr>
        <w:tabs>
          <w:tab w:val="left" w:pos="1275"/>
        </w:tabs>
        <w:ind w:left="1275" w:hanging="435"/>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28"/>
    <w:multiLevelType w:val="multilevel"/>
    <w:tmpl w:val="00000028"/>
    <w:lvl w:ilvl="0" w:tentative="0">
      <w:start w:val="1"/>
      <w:numFmt w:val="decimal"/>
      <w:lvlText w:val="%1."/>
      <w:lvlJc w:val="left"/>
      <w:pPr>
        <w:tabs>
          <w:tab w:val="left" w:pos="425"/>
        </w:tabs>
        <w:ind w:left="425" w:hanging="425"/>
      </w:pPr>
      <w:rPr>
        <w:rFonts w:hint="eastAsia"/>
      </w:rPr>
    </w:lvl>
    <w:lvl w:ilvl="1" w:tentative="0">
      <w:start w:val="1"/>
      <w:numFmt w:val="decimal"/>
      <w:pStyle w:val="97"/>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0000002A"/>
    <w:multiLevelType w:val="multilevel"/>
    <w:tmpl w:val="0000002A"/>
    <w:lvl w:ilvl="0" w:tentative="0">
      <w:start w:val="1"/>
      <w:numFmt w:val="decimal"/>
      <w:pStyle w:val="80"/>
      <w:lvlText w:val="%1. "/>
      <w:lvlJc w:val="left"/>
      <w:pPr>
        <w:tabs>
          <w:tab w:val="left" w:pos="780"/>
        </w:tabs>
        <w:ind w:left="780" w:hanging="360"/>
      </w:pPr>
      <w:rPr>
        <w:rFonts w:hint="eastAsia"/>
        <w:color w:val="auto"/>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3">
    <w:nsid w:val="0000002B"/>
    <w:multiLevelType w:val="singleLevel"/>
    <w:tmpl w:val="0000002B"/>
    <w:lvl w:ilvl="0" w:tentative="0">
      <w:start w:val="5"/>
      <w:numFmt w:val="decimal"/>
      <w:pStyle w:val="66"/>
      <w:lvlText w:val="%1."/>
      <w:lvlJc w:val="left"/>
      <w:pPr>
        <w:tabs>
          <w:tab w:val="left" w:pos="735"/>
        </w:tabs>
        <w:ind w:left="735" w:hanging="735"/>
      </w:pPr>
      <w:rPr>
        <w:rFonts w:hint="eastAsia"/>
      </w:rPr>
    </w:lvl>
  </w:abstractNum>
  <w:abstractNum w:abstractNumId="14">
    <w:nsid w:val="0000002C"/>
    <w:multiLevelType w:val="multilevel"/>
    <w:tmpl w:val="0000002C"/>
    <w:lvl w:ilvl="0" w:tentative="0">
      <w:start w:val="1"/>
      <w:numFmt w:val="decimal"/>
      <w:lvlText w:val="（%1）"/>
      <w:lvlJc w:val="left"/>
      <w:pPr>
        <w:tabs>
          <w:tab w:val="left" w:pos="1800"/>
        </w:tabs>
        <w:ind w:left="1800" w:hanging="72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D"/>
    <w:multiLevelType w:val="multilevel"/>
    <w:tmpl w:val="0000002D"/>
    <w:lvl w:ilvl="0" w:tentative="0">
      <w:start w:val="1"/>
      <w:numFmt w:val="decimal"/>
      <w:lvlText w:val="（%1）"/>
      <w:lvlJc w:val="left"/>
      <w:pPr>
        <w:tabs>
          <w:tab w:val="left" w:pos="1145"/>
        </w:tabs>
        <w:ind w:left="1145" w:hanging="720"/>
      </w:pPr>
      <w:rPr>
        <w:rFonts w:hint="default"/>
        <w:lang w:val="en-US"/>
      </w:rPr>
    </w:lvl>
    <w:lvl w:ilvl="1" w:tentative="0">
      <w:start w:val="1"/>
      <w:numFmt w:val="lowerLetter"/>
      <w:lvlText w:val="%2)"/>
      <w:lvlJc w:val="left"/>
      <w:pPr>
        <w:tabs>
          <w:tab w:val="left" w:pos="1265"/>
        </w:tabs>
        <w:ind w:left="1265" w:hanging="420"/>
      </w:pPr>
    </w:lvl>
    <w:lvl w:ilvl="2" w:tentative="0">
      <w:start w:val="17"/>
      <w:numFmt w:val="decimal"/>
      <w:lvlText w:val="%3"/>
      <w:lvlJc w:val="left"/>
      <w:pPr>
        <w:tabs>
          <w:tab w:val="left" w:pos="1625"/>
        </w:tabs>
        <w:ind w:left="1625" w:hanging="360"/>
      </w:pPr>
      <w:rPr>
        <w:rFonts w:hint="default"/>
      </w:r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16">
    <w:nsid w:val="00000033"/>
    <w:multiLevelType w:val="multilevel"/>
    <w:tmpl w:val="00000033"/>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39"/>
    <w:multiLevelType w:val="multilevel"/>
    <w:tmpl w:val="00000039"/>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780"/>
        </w:tabs>
        <w:ind w:left="780" w:hanging="420"/>
      </w:pPr>
    </w:lvl>
    <w:lvl w:ilvl="2" w:tentative="0">
      <w:start w:val="1"/>
      <w:numFmt w:val="lowerRoman"/>
      <w:lvlText w:val="%3."/>
      <w:lvlJc w:val="right"/>
      <w:pPr>
        <w:tabs>
          <w:tab w:val="left" w:pos="1200"/>
        </w:tabs>
        <w:ind w:left="1200" w:hanging="420"/>
      </w:p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abstractNum w:abstractNumId="18">
    <w:nsid w:val="064E124E"/>
    <w:multiLevelType w:val="multilevel"/>
    <w:tmpl w:val="064E124E"/>
    <w:lvl w:ilvl="0" w:tentative="0">
      <w:start w:val="1"/>
      <w:numFmt w:val="decimal"/>
      <w:lvlText w:val="%1. "/>
      <w:lvlJc w:val="left"/>
      <w:pPr>
        <w:tabs>
          <w:tab w:val="left" w:pos="780"/>
        </w:tabs>
        <w:ind w:left="780" w:hanging="360"/>
      </w:pPr>
      <w:rPr>
        <w:rFonts w:hint="eastAsia"/>
        <w:color w:val="auto"/>
      </w:rPr>
    </w:lvl>
    <w:lvl w:ilvl="1" w:tentative="0">
      <w:start w:val="1"/>
      <w:numFmt w:val="upperLetter"/>
      <w:lvlText w:val="%2."/>
      <w:lvlJc w:val="left"/>
      <w:pPr>
        <w:tabs>
          <w:tab w:val="left" w:pos="1260"/>
        </w:tabs>
        <w:ind w:left="1260" w:hanging="420"/>
      </w:pPr>
      <w:rPr>
        <w:rFonts w:hint="default"/>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9">
    <w:nsid w:val="1FC91163"/>
    <w:multiLevelType w:val="multilevel"/>
    <w:tmpl w:val="1FC91163"/>
    <w:lvl w:ilvl="0" w:tentative="0">
      <w:start w:val="1"/>
      <w:numFmt w:val="decimal"/>
      <w:pStyle w:val="170"/>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6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7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172"/>
      <w:suff w:val="nothing"/>
      <w:lvlText w:val="%1.%2.%3.%4.%5　"/>
      <w:lvlJc w:val="left"/>
      <w:pPr>
        <w:ind w:left="0" w:firstLine="0"/>
      </w:pPr>
      <w:rPr>
        <w:rFonts w:hint="eastAsia" w:ascii="黑体" w:hAnsi="Times New Roman" w:eastAsia="黑体"/>
        <w:b w:val="0"/>
        <w:i w:val="0"/>
        <w:sz w:val="21"/>
      </w:rPr>
    </w:lvl>
    <w:lvl w:ilvl="5" w:tentative="0">
      <w:start w:val="1"/>
      <w:numFmt w:val="decimal"/>
      <w:pStyle w:val="173"/>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0">
    <w:nsid w:val="1FF12888"/>
    <w:multiLevelType w:val="multilevel"/>
    <w:tmpl w:val="1FF12888"/>
    <w:lvl w:ilvl="0" w:tentative="0">
      <w:start w:val="1"/>
      <w:numFmt w:val="japaneseCount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2C5917C3"/>
    <w:multiLevelType w:val="multilevel"/>
    <w:tmpl w:val="2C5917C3"/>
    <w:lvl w:ilvl="0" w:tentative="0">
      <w:start w:val="1"/>
      <w:numFmt w:val="none"/>
      <w:pStyle w:val="160"/>
      <w:suff w:val="nothing"/>
      <w:lvlText w:val="%1——"/>
      <w:lvlJc w:val="left"/>
      <w:pPr>
        <w:ind w:left="833" w:hanging="408"/>
      </w:pPr>
      <w:rPr>
        <w:rFonts w:hint="eastAsia"/>
      </w:rPr>
    </w:lvl>
    <w:lvl w:ilvl="1" w:tentative="0">
      <w:start w:val="1"/>
      <w:numFmt w:val="bullet"/>
      <w:pStyle w:val="161"/>
      <w:lvlText w:val=""/>
      <w:lvlJc w:val="left"/>
      <w:pPr>
        <w:tabs>
          <w:tab w:val="left" w:pos="760"/>
        </w:tabs>
        <w:ind w:left="1264" w:hanging="413"/>
      </w:pPr>
      <w:rPr>
        <w:rFonts w:hint="default" w:ascii="Symbol" w:hAnsi="Symbol"/>
        <w:color w:val="auto"/>
      </w:rPr>
    </w:lvl>
    <w:lvl w:ilvl="2" w:tentative="0">
      <w:start w:val="1"/>
      <w:numFmt w:val="bullet"/>
      <w:pStyle w:val="162"/>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2">
    <w:nsid w:val="35803F28"/>
    <w:multiLevelType w:val="multilevel"/>
    <w:tmpl w:val="35803F28"/>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44110355"/>
    <w:multiLevelType w:val="multilevel"/>
    <w:tmpl w:val="4411035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DBF04F4"/>
    <w:multiLevelType w:val="multilevel"/>
    <w:tmpl w:val="6DBF04F4"/>
    <w:lvl w:ilvl="0" w:tentative="0">
      <w:start w:val="1"/>
      <w:numFmt w:val="none"/>
      <w:pStyle w:val="17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9"/>
  </w:num>
  <w:num w:numId="2">
    <w:abstractNumId w:val="13"/>
  </w:num>
  <w:num w:numId="3">
    <w:abstractNumId w:val="12"/>
  </w:num>
  <w:num w:numId="4">
    <w:abstractNumId w:val="11"/>
  </w:num>
  <w:num w:numId="5">
    <w:abstractNumId w:val="4"/>
  </w:num>
  <w:num w:numId="6">
    <w:abstractNumId w:val="2"/>
  </w:num>
  <w:num w:numId="7">
    <w:abstractNumId w:val="8"/>
  </w:num>
  <w:num w:numId="8">
    <w:abstractNumId w:val="10"/>
  </w:num>
  <w:num w:numId="9">
    <w:abstractNumId w:val="1"/>
  </w:num>
  <w:num w:numId="10">
    <w:abstractNumId w:val="21"/>
  </w:num>
  <w:num w:numId="11">
    <w:abstractNumId w:val="19"/>
  </w:num>
  <w:num w:numId="12">
    <w:abstractNumId w:val="24"/>
  </w:num>
  <w:num w:numId="13">
    <w:abstractNumId w:val="20"/>
  </w:num>
  <w:num w:numId="14">
    <w:abstractNumId w:val="15"/>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num>
  <w:num w:numId="17">
    <w:abstractNumId w:val="3"/>
  </w:num>
  <w:num w:numId="18">
    <w:abstractNumId w:val="0"/>
    <w:lvlOverride w:ilvl="0">
      <w:startOverride w:val="1"/>
    </w:lvlOverride>
  </w:num>
  <w:num w:numId="19">
    <w:abstractNumId w:val="7"/>
    <w:lvlOverride w:ilvl="0">
      <w:startOverride w:val="1"/>
    </w:lvlOverride>
  </w:num>
  <w:num w:numId="20">
    <w:abstractNumId w:val="4"/>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num>
  <w:num w:numId="24">
    <w:abstractNumId w:val="5"/>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6"/>
  </w:num>
  <w:num w:numId="28">
    <w:abstractNumId w:val="16"/>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20"/>
  <w:drawingGridVerticalSpacing w:val="163"/>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B1"/>
    <w:rsid w:val="00000A1A"/>
    <w:rsid w:val="00001E76"/>
    <w:rsid w:val="00004E74"/>
    <w:rsid w:val="00005053"/>
    <w:rsid w:val="0000555D"/>
    <w:rsid w:val="000071FC"/>
    <w:rsid w:val="00007566"/>
    <w:rsid w:val="000108A0"/>
    <w:rsid w:val="00010DD4"/>
    <w:rsid w:val="00010F43"/>
    <w:rsid w:val="00010F49"/>
    <w:rsid w:val="000116FA"/>
    <w:rsid w:val="0001208F"/>
    <w:rsid w:val="00012C89"/>
    <w:rsid w:val="00012D39"/>
    <w:rsid w:val="00012E44"/>
    <w:rsid w:val="000131BE"/>
    <w:rsid w:val="00015BDE"/>
    <w:rsid w:val="000165E5"/>
    <w:rsid w:val="00016AD3"/>
    <w:rsid w:val="00020A07"/>
    <w:rsid w:val="00020DB7"/>
    <w:rsid w:val="000213AD"/>
    <w:rsid w:val="00022193"/>
    <w:rsid w:val="000223F1"/>
    <w:rsid w:val="00023A26"/>
    <w:rsid w:val="00023CA5"/>
    <w:rsid w:val="00024082"/>
    <w:rsid w:val="00024208"/>
    <w:rsid w:val="0002428F"/>
    <w:rsid w:val="00025F01"/>
    <w:rsid w:val="00026EA3"/>
    <w:rsid w:val="00026EC1"/>
    <w:rsid w:val="00030595"/>
    <w:rsid w:val="0003121F"/>
    <w:rsid w:val="00031298"/>
    <w:rsid w:val="000314C6"/>
    <w:rsid w:val="00033091"/>
    <w:rsid w:val="0003366B"/>
    <w:rsid w:val="000337DA"/>
    <w:rsid w:val="00034128"/>
    <w:rsid w:val="00034EBA"/>
    <w:rsid w:val="000350A1"/>
    <w:rsid w:val="00035457"/>
    <w:rsid w:val="000359A0"/>
    <w:rsid w:val="00036B00"/>
    <w:rsid w:val="00040121"/>
    <w:rsid w:val="00040435"/>
    <w:rsid w:val="00041E4C"/>
    <w:rsid w:val="000427F5"/>
    <w:rsid w:val="00044F36"/>
    <w:rsid w:val="00045054"/>
    <w:rsid w:val="0004792A"/>
    <w:rsid w:val="00047CD8"/>
    <w:rsid w:val="0005192D"/>
    <w:rsid w:val="00051F9B"/>
    <w:rsid w:val="0005488F"/>
    <w:rsid w:val="0005503F"/>
    <w:rsid w:val="000557A8"/>
    <w:rsid w:val="00056C9F"/>
    <w:rsid w:val="00060223"/>
    <w:rsid w:val="00061ABB"/>
    <w:rsid w:val="00062EAF"/>
    <w:rsid w:val="00062F19"/>
    <w:rsid w:val="00063665"/>
    <w:rsid w:val="00063CFA"/>
    <w:rsid w:val="000652F3"/>
    <w:rsid w:val="000674AA"/>
    <w:rsid w:val="0007037F"/>
    <w:rsid w:val="0007191E"/>
    <w:rsid w:val="00071B9D"/>
    <w:rsid w:val="00074C34"/>
    <w:rsid w:val="00074D19"/>
    <w:rsid w:val="00075862"/>
    <w:rsid w:val="0007677F"/>
    <w:rsid w:val="000770A9"/>
    <w:rsid w:val="00080387"/>
    <w:rsid w:val="00080457"/>
    <w:rsid w:val="000809A6"/>
    <w:rsid w:val="0008299E"/>
    <w:rsid w:val="00083FFC"/>
    <w:rsid w:val="00084D1F"/>
    <w:rsid w:val="00085265"/>
    <w:rsid w:val="00085939"/>
    <w:rsid w:val="00085959"/>
    <w:rsid w:val="00086AAD"/>
    <w:rsid w:val="000908DE"/>
    <w:rsid w:val="00091844"/>
    <w:rsid w:val="0009225E"/>
    <w:rsid w:val="000938BE"/>
    <w:rsid w:val="00094F96"/>
    <w:rsid w:val="000970CA"/>
    <w:rsid w:val="000A0745"/>
    <w:rsid w:val="000A24B5"/>
    <w:rsid w:val="000A3160"/>
    <w:rsid w:val="000A716E"/>
    <w:rsid w:val="000A74D5"/>
    <w:rsid w:val="000A75E9"/>
    <w:rsid w:val="000B5595"/>
    <w:rsid w:val="000B5748"/>
    <w:rsid w:val="000B58BC"/>
    <w:rsid w:val="000B6FDB"/>
    <w:rsid w:val="000B75BF"/>
    <w:rsid w:val="000C02A3"/>
    <w:rsid w:val="000C1D97"/>
    <w:rsid w:val="000C2FBF"/>
    <w:rsid w:val="000C44B8"/>
    <w:rsid w:val="000C588A"/>
    <w:rsid w:val="000C5A29"/>
    <w:rsid w:val="000C5F27"/>
    <w:rsid w:val="000C62ED"/>
    <w:rsid w:val="000C6B8E"/>
    <w:rsid w:val="000D0743"/>
    <w:rsid w:val="000D2BE5"/>
    <w:rsid w:val="000D4C29"/>
    <w:rsid w:val="000D6121"/>
    <w:rsid w:val="000D69F7"/>
    <w:rsid w:val="000D7326"/>
    <w:rsid w:val="000D75CA"/>
    <w:rsid w:val="000E18C8"/>
    <w:rsid w:val="000E1E10"/>
    <w:rsid w:val="000E2E3A"/>
    <w:rsid w:val="000E3DD4"/>
    <w:rsid w:val="000E667B"/>
    <w:rsid w:val="000E6F07"/>
    <w:rsid w:val="000E7013"/>
    <w:rsid w:val="000F18F7"/>
    <w:rsid w:val="000F24AD"/>
    <w:rsid w:val="000F3141"/>
    <w:rsid w:val="000F4655"/>
    <w:rsid w:val="000F5018"/>
    <w:rsid w:val="000F5970"/>
    <w:rsid w:val="000F5A4C"/>
    <w:rsid w:val="000F74C8"/>
    <w:rsid w:val="00100285"/>
    <w:rsid w:val="0010170D"/>
    <w:rsid w:val="00101AED"/>
    <w:rsid w:val="00101EA3"/>
    <w:rsid w:val="001026FC"/>
    <w:rsid w:val="001032DA"/>
    <w:rsid w:val="00103D21"/>
    <w:rsid w:val="00105228"/>
    <w:rsid w:val="001055D8"/>
    <w:rsid w:val="00105657"/>
    <w:rsid w:val="00106355"/>
    <w:rsid w:val="00106971"/>
    <w:rsid w:val="001106B4"/>
    <w:rsid w:val="00111470"/>
    <w:rsid w:val="001118FB"/>
    <w:rsid w:val="00114436"/>
    <w:rsid w:val="0011606A"/>
    <w:rsid w:val="00116B12"/>
    <w:rsid w:val="001173DF"/>
    <w:rsid w:val="00117500"/>
    <w:rsid w:val="001176B4"/>
    <w:rsid w:val="00120438"/>
    <w:rsid w:val="00121875"/>
    <w:rsid w:val="001223DE"/>
    <w:rsid w:val="00122707"/>
    <w:rsid w:val="00124F0E"/>
    <w:rsid w:val="00126251"/>
    <w:rsid w:val="00126361"/>
    <w:rsid w:val="00130499"/>
    <w:rsid w:val="001312FA"/>
    <w:rsid w:val="0013272A"/>
    <w:rsid w:val="00133FA5"/>
    <w:rsid w:val="001352B2"/>
    <w:rsid w:val="001355F4"/>
    <w:rsid w:val="00137D6D"/>
    <w:rsid w:val="00141226"/>
    <w:rsid w:val="001423BD"/>
    <w:rsid w:val="0014381C"/>
    <w:rsid w:val="0014494B"/>
    <w:rsid w:val="00144FB2"/>
    <w:rsid w:val="00145075"/>
    <w:rsid w:val="001452BC"/>
    <w:rsid w:val="001453FA"/>
    <w:rsid w:val="00145428"/>
    <w:rsid w:val="00145FDB"/>
    <w:rsid w:val="001506C0"/>
    <w:rsid w:val="00151344"/>
    <w:rsid w:val="00151516"/>
    <w:rsid w:val="001537D3"/>
    <w:rsid w:val="00153919"/>
    <w:rsid w:val="00153C71"/>
    <w:rsid w:val="001546AE"/>
    <w:rsid w:val="00154BF4"/>
    <w:rsid w:val="00155DA5"/>
    <w:rsid w:val="00160DD2"/>
    <w:rsid w:val="00160F73"/>
    <w:rsid w:val="0016175D"/>
    <w:rsid w:val="0016482D"/>
    <w:rsid w:val="001666C6"/>
    <w:rsid w:val="001671ED"/>
    <w:rsid w:val="001676F0"/>
    <w:rsid w:val="00167DEE"/>
    <w:rsid w:val="00170427"/>
    <w:rsid w:val="00170B70"/>
    <w:rsid w:val="00172623"/>
    <w:rsid w:val="00172A27"/>
    <w:rsid w:val="00174891"/>
    <w:rsid w:val="0017522E"/>
    <w:rsid w:val="00175630"/>
    <w:rsid w:val="00176299"/>
    <w:rsid w:val="001765B2"/>
    <w:rsid w:val="00180D09"/>
    <w:rsid w:val="00182F56"/>
    <w:rsid w:val="00183BE0"/>
    <w:rsid w:val="00184F8E"/>
    <w:rsid w:val="00186186"/>
    <w:rsid w:val="00186E62"/>
    <w:rsid w:val="001870BD"/>
    <w:rsid w:val="00190C2D"/>
    <w:rsid w:val="00191167"/>
    <w:rsid w:val="001922EF"/>
    <w:rsid w:val="0019299D"/>
    <w:rsid w:val="00192B89"/>
    <w:rsid w:val="00192ECD"/>
    <w:rsid w:val="00192FEC"/>
    <w:rsid w:val="001931F9"/>
    <w:rsid w:val="001933ED"/>
    <w:rsid w:val="00193A74"/>
    <w:rsid w:val="00193D0A"/>
    <w:rsid w:val="00193F3D"/>
    <w:rsid w:val="0019453F"/>
    <w:rsid w:val="0019537C"/>
    <w:rsid w:val="001962F1"/>
    <w:rsid w:val="00197430"/>
    <w:rsid w:val="001A0EE1"/>
    <w:rsid w:val="001A0F46"/>
    <w:rsid w:val="001A1F2F"/>
    <w:rsid w:val="001A307B"/>
    <w:rsid w:val="001A34F5"/>
    <w:rsid w:val="001A3587"/>
    <w:rsid w:val="001A4220"/>
    <w:rsid w:val="001A603A"/>
    <w:rsid w:val="001B109D"/>
    <w:rsid w:val="001B14B8"/>
    <w:rsid w:val="001B3DC7"/>
    <w:rsid w:val="001B48F4"/>
    <w:rsid w:val="001B4D5D"/>
    <w:rsid w:val="001B513F"/>
    <w:rsid w:val="001B5AA8"/>
    <w:rsid w:val="001B613F"/>
    <w:rsid w:val="001C0825"/>
    <w:rsid w:val="001C0C1D"/>
    <w:rsid w:val="001C1666"/>
    <w:rsid w:val="001C1F02"/>
    <w:rsid w:val="001C1F08"/>
    <w:rsid w:val="001C407D"/>
    <w:rsid w:val="001C5CB8"/>
    <w:rsid w:val="001C5D41"/>
    <w:rsid w:val="001C750C"/>
    <w:rsid w:val="001D0C10"/>
    <w:rsid w:val="001D15BF"/>
    <w:rsid w:val="001D2503"/>
    <w:rsid w:val="001D4705"/>
    <w:rsid w:val="001D4D10"/>
    <w:rsid w:val="001D6D38"/>
    <w:rsid w:val="001D738A"/>
    <w:rsid w:val="001D79ED"/>
    <w:rsid w:val="001E07E1"/>
    <w:rsid w:val="001E1177"/>
    <w:rsid w:val="001E3684"/>
    <w:rsid w:val="001E45A2"/>
    <w:rsid w:val="001E4843"/>
    <w:rsid w:val="001E6490"/>
    <w:rsid w:val="001E690F"/>
    <w:rsid w:val="001E78A6"/>
    <w:rsid w:val="001F0387"/>
    <w:rsid w:val="001F0857"/>
    <w:rsid w:val="001F2E60"/>
    <w:rsid w:val="001F3C70"/>
    <w:rsid w:val="001F3F59"/>
    <w:rsid w:val="001F4BCA"/>
    <w:rsid w:val="001F4D00"/>
    <w:rsid w:val="001F5C61"/>
    <w:rsid w:val="00200DDF"/>
    <w:rsid w:val="002018A9"/>
    <w:rsid w:val="00202A80"/>
    <w:rsid w:val="00202F20"/>
    <w:rsid w:val="00205E77"/>
    <w:rsid w:val="00206344"/>
    <w:rsid w:val="00206649"/>
    <w:rsid w:val="002078D2"/>
    <w:rsid w:val="00210E68"/>
    <w:rsid w:val="0021197F"/>
    <w:rsid w:val="002129CF"/>
    <w:rsid w:val="0021387A"/>
    <w:rsid w:val="00213A36"/>
    <w:rsid w:val="00213FBA"/>
    <w:rsid w:val="002204E7"/>
    <w:rsid w:val="00220C7C"/>
    <w:rsid w:val="002210F8"/>
    <w:rsid w:val="00221DD8"/>
    <w:rsid w:val="00222160"/>
    <w:rsid w:val="00222624"/>
    <w:rsid w:val="00223B07"/>
    <w:rsid w:val="002246A7"/>
    <w:rsid w:val="002253F6"/>
    <w:rsid w:val="00225999"/>
    <w:rsid w:val="00225E2E"/>
    <w:rsid w:val="00226F69"/>
    <w:rsid w:val="00231254"/>
    <w:rsid w:val="00231958"/>
    <w:rsid w:val="00231984"/>
    <w:rsid w:val="00231AB8"/>
    <w:rsid w:val="00232CF1"/>
    <w:rsid w:val="0023360E"/>
    <w:rsid w:val="00233859"/>
    <w:rsid w:val="00233D9B"/>
    <w:rsid w:val="00234A64"/>
    <w:rsid w:val="00234E3C"/>
    <w:rsid w:val="00235992"/>
    <w:rsid w:val="0023705B"/>
    <w:rsid w:val="002370F4"/>
    <w:rsid w:val="00237E85"/>
    <w:rsid w:val="00240043"/>
    <w:rsid w:val="0024115C"/>
    <w:rsid w:val="00241F3F"/>
    <w:rsid w:val="00241F70"/>
    <w:rsid w:val="00241FEA"/>
    <w:rsid w:val="00242493"/>
    <w:rsid w:val="00242838"/>
    <w:rsid w:val="00243031"/>
    <w:rsid w:val="002441AC"/>
    <w:rsid w:val="00244613"/>
    <w:rsid w:val="00244971"/>
    <w:rsid w:val="00245905"/>
    <w:rsid w:val="00245F03"/>
    <w:rsid w:val="00247210"/>
    <w:rsid w:val="00247361"/>
    <w:rsid w:val="002508D2"/>
    <w:rsid w:val="00250C70"/>
    <w:rsid w:val="002520E8"/>
    <w:rsid w:val="00254077"/>
    <w:rsid w:val="002561BD"/>
    <w:rsid w:val="0025652B"/>
    <w:rsid w:val="00260B86"/>
    <w:rsid w:val="00261629"/>
    <w:rsid w:val="00261AAB"/>
    <w:rsid w:val="002638F1"/>
    <w:rsid w:val="00263939"/>
    <w:rsid w:val="002643AA"/>
    <w:rsid w:val="00264C2B"/>
    <w:rsid w:val="0026522D"/>
    <w:rsid w:val="0026724A"/>
    <w:rsid w:val="002708C5"/>
    <w:rsid w:val="002715FD"/>
    <w:rsid w:val="002717FD"/>
    <w:rsid w:val="00273C3F"/>
    <w:rsid w:val="002764E8"/>
    <w:rsid w:val="002770D3"/>
    <w:rsid w:val="00277A3F"/>
    <w:rsid w:val="00277B95"/>
    <w:rsid w:val="00280C58"/>
    <w:rsid w:val="00283786"/>
    <w:rsid w:val="00284221"/>
    <w:rsid w:val="00284671"/>
    <w:rsid w:val="002852D3"/>
    <w:rsid w:val="00287327"/>
    <w:rsid w:val="00287C25"/>
    <w:rsid w:val="00292183"/>
    <w:rsid w:val="00292A44"/>
    <w:rsid w:val="0029380B"/>
    <w:rsid w:val="00293862"/>
    <w:rsid w:val="00294891"/>
    <w:rsid w:val="002A084D"/>
    <w:rsid w:val="002A0A7F"/>
    <w:rsid w:val="002A0EB6"/>
    <w:rsid w:val="002A14FE"/>
    <w:rsid w:val="002A17DF"/>
    <w:rsid w:val="002A20BD"/>
    <w:rsid w:val="002A2A71"/>
    <w:rsid w:val="002A34A0"/>
    <w:rsid w:val="002A4324"/>
    <w:rsid w:val="002A5D1F"/>
    <w:rsid w:val="002A79D8"/>
    <w:rsid w:val="002B1271"/>
    <w:rsid w:val="002B1FD2"/>
    <w:rsid w:val="002B3D55"/>
    <w:rsid w:val="002B47D3"/>
    <w:rsid w:val="002B5043"/>
    <w:rsid w:val="002B5A70"/>
    <w:rsid w:val="002B5BCC"/>
    <w:rsid w:val="002B6D04"/>
    <w:rsid w:val="002C1B6A"/>
    <w:rsid w:val="002C2179"/>
    <w:rsid w:val="002C30F0"/>
    <w:rsid w:val="002C3A46"/>
    <w:rsid w:val="002C3D12"/>
    <w:rsid w:val="002C468D"/>
    <w:rsid w:val="002C4EF1"/>
    <w:rsid w:val="002C5386"/>
    <w:rsid w:val="002C560F"/>
    <w:rsid w:val="002C5657"/>
    <w:rsid w:val="002D0359"/>
    <w:rsid w:val="002D0415"/>
    <w:rsid w:val="002D0C75"/>
    <w:rsid w:val="002D2007"/>
    <w:rsid w:val="002D4793"/>
    <w:rsid w:val="002D56EB"/>
    <w:rsid w:val="002D5B72"/>
    <w:rsid w:val="002D6078"/>
    <w:rsid w:val="002D7208"/>
    <w:rsid w:val="002E0983"/>
    <w:rsid w:val="002E0F2A"/>
    <w:rsid w:val="002E148C"/>
    <w:rsid w:val="002E1E6F"/>
    <w:rsid w:val="002E278B"/>
    <w:rsid w:val="002E2A7C"/>
    <w:rsid w:val="002E7580"/>
    <w:rsid w:val="002F1634"/>
    <w:rsid w:val="002F207B"/>
    <w:rsid w:val="002F26B2"/>
    <w:rsid w:val="002F307D"/>
    <w:rsid w:val="002F356F"/>
    <w:rsid w:val="002F3B3B"/>
    <w:rsid w:val="002F4762"/>
    <w:rsid w:val="002F658C"/>
    <w:rsid w:val="002F73B3"/>
    <w:rsid w:val="003011D5"/>
    <w:rsid w:val="00301386"/>
    <w:rsid w:val="003017F5"/>
    <w:rsid w:val="003028A3"/>
    <w:rsid w:val="00305359"/>
    <w:rsid w:val="00306044"/>
    <w:rsid w:val="00307EFE"/>
    <w:rsid w:val="00311547"/>
    <w:rsid w:val="00312DC4"/>
    <w:rsid w:val="003141F0"/>
    <w:rsid w:val="00321F36"/>
    <w:rsid w:val="003220D7"/>
    <w:rsid w:val="00322101"/>
    <w:rsid w:val="00322D81"/>
    <w:rsid w:val="00324A9B"/>
    <w:rsid w:val="00325CA2"/>
    <w:rsid w:val="003266BF"/>
    <w:rsid w:val="003300DE"/>
    <w:rsid w:val="003302A1"/>
    <w:rsid w:val="00331F6E"/>
    <w:rsid w:val="00332522"/>
    <w:rsid w:val="00336AB4"/>
    <w:rsid w:val="00336C1E"/>
    <w:rsid w:val="00336D70"/>
    <w:rsid w:val="00336FC8"/>
    <w:rsid w:val="003370F1"/>
    <w:rsid w:val="00340286"/>
    <w:rsid w:val="0034064B"/>
    <w:rsid w:val="00340F34"/>
    <w:rsid w:val="00341C88"/>
    <w:rsid w:val="003421AB"/>
    <w:rsid w:val="00343C6A"/>
    <w:rsid w:val="00345552"/>
    <w:rsid w:val="00346973"/>
    <w:rsid w:val="00346C18"/>
    <w:rsid w:val="003507FF"/>
    <w:rsid w:val="003525EA"/>
    <w:rsid w:val="00353039"/>
    <w:rsid w:val="00353433"/>
    <w:rsid w:val="003551DF"/>
    <w:rsid w:val="00356363"/>
    <w:rsid w:val="00356A82"/>
    <w:rsid w:val="00356ED0"/>
    <w:rsid w:val="00357972"/>
    <w:rsid w:val="00357A73"/>
    <w:rsid w:val="00360700"/>
    <w:rsid w:val="00361D91"/>
    <w:rsid w:val="00362586"/>
    <w:rsid w:val="00363577"/>
    <w:rsid w:val="00363D35"/>
    <w:rsid w:val="003664E4"/>
    <w:rsid w:val="00370D15"/>
    <w:rsid w:val="00372A66"/>
    <w:rsid w:val="00372D06"/>
    <w:rsid w:val="00374A4F"/>
    <w:rsid w:val="003755C5"/>
    <w:rsid w:val="00377130"/>
    <w:rsid w:val="00377475"/>
    <w:rsid w:val="003801A4"/>
    <w:rsid w:val="00380728"/>
    <w:rsid w:val="00380A42"/>
    <w:rsid w:val="00381051"/>
    <w:rsid w:val="00382077"/>
    <w:rsid w:val="003825A5"/>
    <w:rsid w:val="003841B1"/>
    <w:rsid w:val="0038472F"/>
    <w:rsid w:val="00386961"/>
    <w:rsid w:val="00386DBF"/>
    <w:rsid w:val="0039051D"/>
    <w:rsid w:val="003910A2"/>
    <w:rsid w:val="00392492"/>
    <w:rsid w:val="00392FC5"/>
    <w:rsid w:val="00395B11"/>
    <w:rsid w:val="00396011"/>
    <w:rsid w:val="0039640A"/>
    <w:rsid w:val="003966E3"/>
    <w:rsid w:val="0039675D"/>
    <w:rsid w:val="003A044F"/>
    <w:rsid w:val="003A1BAB"/>
    <w:rsid w:val="003A252D"/>
    <w:rsid w:val="003A28B6"/>
    <w:rsid w:val="003A64F1"/>
    <w:rsid w:val="003A7B80"/>
    <w:rsid w:val="003A7DE7"/>
    <w:rsid w:val="003B102A"/>
    <w:rsid w:val="003B1C88"/>
    <w:rsid w:val="003B1E86"/>
    <w:rsid w:val="003B2800"/>
    <w:rsid w:val="003B2BA5"/>
    <w:rsid w:val="003B33A7"/>
    <w:rsid w:val="003B454B"/>
    <w:rsid w:val="003B556A"/>
    <w:rsid w:val="003B6A17"/>
    <w:rsid w:val="003B74F1"/>
    <w:rsid w:val="003C051F"/>
    <w:rsid w:val="003C0695"/>
    <w:rsid w:val="003C1147"/>
    <w:rsid w:val="003C20A8"/>
    <w:rsid w:val="003C25F7"/>
    <w:rsid w:val="003C46C7"/>
    <w:rsid w:val="003C58DE"/>
    <w:rsid w:val="003C72EC"/>
    <w:rsid w:val="003C77F6"/>
    <w:rsid w:val="003D7AEF"/>
    <w:rsid w:val="003E0E15"/>
    <w:rsid w:val="003E179E"/>
    <w:rsid w:val="003E1864"/>
    <w:rsid w:val="003E26F3"/>
    <w:rsid w:val="003E34D1"/>
    <w:rsid w:val="003E4074"/>
    <w:rsid w:val="003E467D"/>
    <w:rsid w:val="003E50F1"/>
    <w:rsid w:val="003E559D"/>
    <w:rsid w:val="003E56B9"/>
    <w:rsid w:val="003E6123"/>
    <w:rsid w:val="003E65CE"/>
    <w:rsid w:val="003E7E2F"/>
    <w:rsid w:val="003F0847"/>
    <w:rsid w:val="003F09D9"/>
    <w:rsid w:val="003F0DB4"/>
    <w:rsid w:val="003F23CD"/>
    <w:rsid w:val="003F5F51"/>
    <w:rsid w:val="003F7C94"/>
    <w:rsid w:val="003F7EBF"/>
    <w:rsid w:val="003F7FA3"/>
    <w:rsid w:val="00400F72"/>
    <w:rsid w:val="00401F4D"/>
    <w:rsid w:val="00402551"/>
    <w:rsid w:val="00402727"/>
    <w:rsid w:val="00402732"/>
    <w:rsid w:val="00403D8E"/>
    <w:rsid w:val="00403EAF"/>
    <w:rsid w:val="0040546F"/>
    <w:rsid w:val="00406AD7"/>
    <w:rsid w:val="00406D48"/>
    <w:rsid w:val="00407C33"/>
    <w:rsid w:val="0041011E"/>
    <w:rsid w:val="004112C7"/>
    <w:rsid w:val="00411A4F"/>
    <w:rsid w:val="00412038"/>
    <w:rsid w:val="00414F32"/>
    <w:rsid w:val="00420AEB"/>
    <w:rsid w:val="004218A8"/>
    <w:rsid w:val="00422520"/>
    <w:rsid w:val="004235B1"/>
    <w:rsid w:val="00424079"/>
    <w:rsid w:val="00424F8D"/>
    <w:rsid w:val="00424FAA"/>
    <w:rsid w:val="00425096"/>
    <w:rsid w:val="00425591"/>
    <w:rsid w:val="004274FB"/>
    <w:rsid w:val="00427A95"/>
    <w:rsid w:val="00427BF5"/>
    <w:rsid w:val="004330DC"/>
    <w:rsid w:val="004333ED"/>
    <w:rsid w:val="00437668"/>
    <w:rsid w:val="004378FF"/>
    <w:rsid w:val="00442DA7"/>
    <w:rsid w:val="00444045"/>
    <w:rsid w:val="00444546"/>
    <w:rsid w:val="00444CAD"/>
    <w:rsid w:val="00444CED"/>
    <w:rsid w:val="00444DD3"/>
    <w:rsid w:val="00444E2C"/>
    <w:rsid w:val="00445FAB"/>
    <w:rsid w:val="00446594"/>
    <w:rsid w:val="00446C42"/>
    <w:rsid w:val="00446F65"/>
    <w:rsid w:val="00447791"/>
    <w:rsid w:val="00447E9C"/>
    <w:rsid w:val="00450598"/>
    <w:rsid w:val="004513BD"/>
    <w:rsid w:val="004539F5"/>
    <w:rsid w:val="0045408E"/>
    <w:rsid w:val="00455B04"/>
    <w:rsid w:val="004577F8"/>
    <w:rsid w:val="004602AA"/>
    <w:rsid w:val="004603A8"/>
    <w:rsid w:val="00460A4E"/>
    <w:rsid w:val="00460E46"/>
    <w:rsid w:val="0046245C"/>
    <w:rsid w:val="00463AD6"/>
    <w:rsid w:val="00463DBE"/>
    <w:rsid w:val="00463FAB"/>
    <w:rsid w:val="00465861"/>
    <w:rsid w:val="00465971"/>
    <w:rsid w:val="00465A42"/>
    <w:rsid w:val="0046685D"/>
    <w:rsid w:val="004668D5"/>
    <w:rsid w:val="004677A5"/>
    <w:rsid w:val="00470227"/>
    <w:rsid w:val="0047043A"/>
    <w:rsid w:val="0047115C"/>
    <w:rsid w:val="004713FB"/>
    <w:rsid w:val="00472766"/>
    <w:rsid w:val="00473EC9"/>
    <w:rsid w:val="00475092"/>
    <w:rsid w:val="004768C5"/>
    <w:rsid w:val="00477A0E"/>
    <w:rsid w:val="00480E1B"/>
    <w:rsid w:val="00481128"/>
    <w:rsid w:val="00482DF2"/>
    <w:rsid w:val="00482F0B"/>
    <w:rsid w:val="00484595"/>
    <w:rsid w:val="004854EE"/>
    <w:rsid w:val="0048573A"/>
    <w:rsid w:val="004907C8"/>
    <w:rsid w:val="0049114E"/>
    <w:rsid w:val="004915F2"/>
    <w:rsid w:val="00491A42"/>
    <w:rsid w:val="00491CBB"/>
    <w:rsid w:val="00492FD4"/>
    <w:rsid w:val="0049359E"/>
    <w:rsid w:val="00493600"/>
    <w:rsid w:val="00493CF6"/>
    <w:rsid w:val="0049431D"/>
    <w:rsid w:val="00494446"/>
    <w:rsid w:val="0049490F"/>
    <w:rsid w:val="00494B38"/>
    <w:rsid w:val="004A10A4"/>
    <w:rsid w:val="004A1FCC"/>
    <w:rsid w:val="004A258C"/>
    <w:rsid w:val="004A337E"/>
    <w:rsid w:val="004A3806"/>
    <w:rsid w:val="004A658B"/>
    <w:rsid w:val="004A777F"/>
    <w:rsid w:val="004A79F0"/>
    <w:rsid w:val="004B1341"/>
    <w:rsid w:val="004B14D0"/>
    <w:rsid w:val="004B329E"/>
    <w:rsid w:val="004B365A"/>
    <w:rsid w:val="004B480E"/>
    <w:rsid w:val="004B4C55"/>
    <w:rsid w:val="004B568F"/>
    <w:rsid w:val="004B6454"/>
    <w:rsid w:val="004C0279"/>
    <w:rsid w:val="004C0BBD"/>
    <w:rsid w:val="004C0E46"/>
    <w:rsid w:val="004C10C9"/>
    <w:rsid w:val="004C1118"/>
    <w:rsid w:val="004C40EB"/>
    <w:rsid w:val="004C41F2"/>
    <w:rsid w:val="004C607E"/>
    <w:rsid w:val="004C709C"/>
    <w:rsid w:val="004C79FC"/>
    <w:rsid w:val="004C7B1D"/>
    <w:rsid w:val="004D0EC0"/>
    <w:rsid w:val="004D1017"/>
    <w:rsid w:val="004D1A98"/>
    <w:rsid w:val="004D243B"/>
    <w:rsid w:val="004D3D50"/>
    <w:rsid w:val="004D5D5C"/>
    <w:rsid w:val="004D5EF5"/>
    <w:rsid w:val="004D6BAA"/>
    <w:rsid w:val="004D6FAD"/>
    <w:rsid w:val="004E232D"/>
    <w:rsid w:val="004E37CD"/>
    <w:rsid w:val="004E3C1B"/>
    <w:rsid w:val="004F0354"/>
    <w:rsid w:val="004F1562"/>
    <w:rsid w:val="004F3B5F"/>
    <w:rsid w:val="004F48FC"/>
    <w:rsid w:val="004F5786"/>
    <w:rsid w:val="004F6907"/>
    <w:rsid w:val="004F6CB7"/>
    <w:rsid w:val="004F6DAA"/>
    <w:rsid w:val="004F765D"/>
    <w:rsid w:val="0050019F"/>
    <w:rsid w:val="00501862"/>
    <w:rsid w:val="00502562"/>
    <w:rsid w:val="00502FF6"/>
    <w:rsid w:val="00505F6F"/>
    <w:rsid w:val="00506CB7"/>
    <w:rsid w:val="0050704B"/>
    <w:rsid w:val="00510613"/>
    <w:rsid w:val="00510982"/>
    <w:rsid w:val="00511148"/>
    <w:rsid w:val="005112AB"/>
    <w:rsid w:val="005122B5"/>
    <w:rsid w:val="00513C24"/>
    <w:rsid w:val="005144AB"/>
    <w:rsid w:val="005151B6"/>
    <w:rsid w:val="005161DE"/>
    <w:rsid w:val="00516A5E"/>
    <w:rsid w:val="00516AFE"/>
    <w:rsid w:val="00516CFC"/>
    <w:rsid w:val="0052046B"/>
    <w:rsid w:val="00521945"/>
    <w:rsid w:val="00522C52"/>
    <w:rsid w:val="00523C1C"/>
    <w:rsid w:val="00523ED3"/>
    <w:rsid w:val="00524691"/>
    <w:rsid w:val="00524EBD"/>
    <w:rsid w:val="00525229"/>
    <w:rsid w:val="005262CA"/>
    <w:rsid w:val="005263D3"/>
    <w:rsid w:val="005276B1"/>
    <w:rsid w:val="005279B5"/>
    <w:rsid w:val="00527E63"/>
    <w:rsid w:val="005311D3"/>
    <w:rsid w:val="00532102"/>
    <w:rsid w:val="0053290C"/>
    <w:rsid w:val="0053497C"/>
    <w:rsid w:val="00534EB9"/>
    <w:rsid w:val="00536151"/>
    <w:rsid w:val="00537228"/>
    <w:rsid w:val="00537BB5"/>
    <w:rsid w:val="00541904"/>
    <w:rsid w:val="00541938"/>
    <w:rsid w:val="0054312A"/>
    <w:rsid w:val="0054358E"/>
    <w:rsid w:val="005437B8"/>
    <w:rsid w:val="00543E79"/>
    <w:rsid w:val="00543FB8"/>
    <w:rsid w:val="005456DD"/>
    <w:rsid w:val="005459AF"/>
    <w:rsid w:val="005478D5"/>
    <w:rsid w:val="00547C77"/>
    <w:rsid w:val="005508E2"/>
    <w:rsid w:val="00551046"/>
    <w:rsid w:val="0055180C"/>
    <w:rsid w:val="005524C0"/>
    <w:rsid w:val="00552BA9"/>
    <w:rsid w:val="00553BD7"/>
    <w:rsid w:val="00554764"/>
    <w:rsid w:val="00554A58"/>
    <w:rsid w:val="0055508D"/>
    <w:rsid w:val="005554FD"/>
    <w:rsid w:val="005569E7"/>
    <w:rsid w:val="00556AC7"/>
    <w:rsid w:val="00556C1B"/>
    <w:rsid w:val="00556CC7"/>
    <w:rsid w:val="00561BAE"/>
    <w:rsid w:val="005627A8"/>
    <w:rsid w:val="00563196"/>
    <w:rsid w:val="0056501E"/>
    <w:rsid w:val="00565CD8"/>
    <w:rsid w:val="00565E8D"/>
    <w:rsid w:val="00565F32"/>
    <w:rsid w:val="0056659A"/>
    <w:rsid w:val="00566B0E"/>
    <w:rsid w:val="00567B5F"/>
    <w:rsid w:val="005704F7"/>
    <w:rsid w:val="00570EC0"/>
    <w:rsid w:val="005723CC"/>
    <w:rsid w:val="0057656F"/>
    <w:rsid w:val="005765C5"/>
    <w:rsid w:val="005765E8"/>
    <w:rsid w:val="00576665"/>
    <w:rsid w:val="00576C5F"/>
    <w:rsid w:val="00577310"/>
    <w:rsid w:val="0058019A"/>
    <w:rsid w:val="00580D45"/>
    <w:rsid w:val="00580FF6"/>
    <w:rsid w:val="0058182A"/>
    <w:rsid w:val="00582C9F"/>
    <w:rsid w:val="005842E6"/>
    <w:rsid w:val="0058682D"/>
    <w:rsid w:val="00590D00"/>
    <w:rsid w:val="005910DA"/>
    <w:rsid w:val="00591E72"/>
    <w:rsid w:val="00593061"/>
    <w:rsid w:val="005934F0"/>
    <w:rsid w:val="00594773"/>
    <w:rsid w:val="005956B4"/>
    <w:rsid w:val="005966A9"/>
    <w:rsid w:val="005969B9"/>
    <w:rsid w:val="00596C2E"/>
    <w:rsid w:val="00597760"/>
    <w:rsid w:val="005A0EE4"/>
    <w:rsid w:val="005A10D8"/>
    <w:rsid w:val="005A2CC8"/>
    <w:rsid w:val="005A32B8"/>
    <w:rsid w:val="005A454D"/>
    <w:rsid w:val="005A4FB4"/>
    <w:rsid w:val="005A6D98"/>
    <w:rsid w:val="005A7017"/>
    <w:rsid w:val="005A78B5"/>
    <w:rsid w:val="005B016D"/>
    <w:rsid w:val="005B2858"/>
    <w:rsid w:val="005B45C7"/>
    <w:rsid w:val="005B5811"/>
    <w:rsid w:val="005B6B49"/>
    <w:rsid w:val="005B7D1E"/>
    <w:rsid w:val="005B7FBA"/>
    <w:rsid w:val="005C03DF"/>
    <w:rsid w:val="005C1446"/>
    <w:rsid w:val="005C16FB"/>
    <w:rsid w:val="005C22BB"/>
    <w:rsid w:val="005C250B"/>
    <w:rsid w:val="005C58C2"/>
    <w:rsid w:val="005C6CC5"/>
    <w:rsid w:val="005C6DF9"/>
    <w:rsid w:val="005D0065"/>
    <w:rsid w:val="005D073D"/>
    <w:rsid w:val="005D0B0D"/>
    <w:rsid w:val="005D2666"/>
    <w:rsid w:val="005D2D23"/>
    <w:rsid w:val="005D3655"/>
    <w:rsid w:val="005D39A6"/>
    <w:rsid w:val="005D529A"/>
    <w:rsid w:val="005D5977"/>
    <w:rsid w:val="005D5B9E"/>
    <w:rsid w:val="005E0AA7"/>
    <w:rsid w:val="005E1CAA"/>
    <w:rsid w:val="005E27BE"/>
    <w:rsid w:val="005E2D26"/>
    <w:rsid w:val="005E4F90"/>
    <w:rsid w:val="005F0222"/>
    <w:rsid w:val="005F0CFF"/>
    <w:rsid w:val="005F324E"/>
    <w:rsid w:val="005F385E"/>
    <w:rsid w:val="005F3ACF"/>
    <w:rsid w:val="005F3F79"/>
    <w:rsid w:val="005F413D"/>
    <w:rsid w:val="005F416B"/>
    <w:rsid w:val="005F4750"/>
    <w:rsid w:val="005F4D6B"/>
    <w:rsid w:val="005F52B1"/>
    <w:rsid w:val="005F57DB"/>
    <w:rsid w:val="005F5938"/>
    <w:rsid w:val="005F63EF"/>
    <w:rsid w:val="005F6B93"/>
    <w:rsid w:val="005F7851"/>
    <w:rsid w:val="005F7DD0"/>
    <w:rsid w:val="00600442"/>
    <w:rsid w:val="006006CE"/>
    <w:rsid w:val="0060083C"/>
    <w:rsid w:val="00603312"/>
    <w:rsid w:val="006049AD"/>
    <w:rsid w:val="00604A62"/>
    <w:rsid w:val="006056F2"/>
    <w:rsid w:val="006059E6"/>
    <w:rsid w:val="00606705"/>
    <w:rsid w:val="00612A6B"/>
    <w:rsid w:val="00613230"/>
    <w:rsid w:val="006148FE"/>
    <w:rsid w:val="00615090"/>
    <w:rsid w:val="00615450"/>
    <w:rsid w:val="006168D6"/>
    <w:rsid w:val="006177D2"/>
    <w:rsid w:val="00617825"/>
    <w:rsid w:val="006231B3"/>
    <w:rsid w:val="00623D4D"/>
    <w:rsid w:val="00627228"/>
    <w:rsid w:val="00631843"/>
    <w:rsid w:val="0063383A"/>
    <w:rsid w:val="00633E1D"/>
    <w:rsid w:val="006344B4"/>
    <w:rsid w:val="00634CF5"/>
    <w:rsid w:val="00635B57"/>
    <w:rsid w:val="00635D08"/>
    <w:rsid w:val="006363A4"/>
    <w:rsid w:val="00636C39"/>
    <w:rsid w:val="006379B3"/>
    <w:rsid w:val="0064016D"/>
    <w:rsid w:val="00640F9C"/>
    <w:rsid w:val="0064140D"/>
    <w:rsid w:val="00642FEC"/>
    <w:rsid w:val="006431B9"/>
    <w:rsid w:val="00643364"/>
    <w:rsid w:val="00643D85"/>
    <w:rsid w:val="00643F8C"/>
    <w:rsid w:val="0064426F"/>
    <w:rsid w:val="006446B0"/>
    <w:rsid w:val="0064558B"/>
    <w:rsid w:val="00645B69"/>
    <w:rsid w:val="00646333"/>
    <w:rsid w:val="006476DE"/>
    <w:rsid w:val="00650E52"/>
    <w:rsid w:val="006524BF"/>
    <w:rsid w:val="00653F32"/>
    <w:rsid w:val="00654255"/>
    <w:rsid w:val="00661033"/>
    <w:rsid w:val="00662374"/>
    <w:rsid w:val="00662F1F"/>
    <w:rsid w:val="00663806"/>
    <w:rsid w:val="0066387B"/>
    <w:rsid w:val="00663F98"/>
    <w:rsid w:val="00664788"/>
    <w:rsid w:val="006650F6"/>
    <w:rsid w:val="00665A7E"/>
    <w:rsid w:val="006661C5"/>
    <w:rsid w:val="0067050C"/>
    <w:rsid w:val="006710E3"/>
    <w:rsid w:val="006721A4"/>
    <w:rsid w:val="00673CA0"/>
    <w:rsid w:val="00674C2D"/>
    <w:rsid w:val="00675082"/>
    <w:rsid w:val="0067725C"/>
    <w:rsid w:val="00681452"/>
    <w:rsid w:val="006848A0"/>
    <w:rsid w:val="00686AAA"/>
    <w:rsid w:val="00687E35"/>
    <w:rsid w:val="00690738"/>
    <w:rsid w:val="006920E9"/>
    <w:rsid w:val="0069342A"/>
    <w:rsid w:val="00694EA1"/>
    <w:rsid w:val="0069598E"/>
    <w:rsid w:val="00696ED4"/>
    <w:rsid w:val="006A13F4"/>
    <w:rsid w:val="006A2AE1"/>
    <w:rsid w:val="006A35BE"/>
    <w:rsid w:val="006A3CE2"/>
    <w:rsid w:val="006A63C1"/>
    <w:rsid w:val="006A6BD9"/>
    <w:rsid w:val="006A6E13"/>
    <w:rsid w:val="006A71BB"/>
    <w:rsid w:val="006B0213"/>
    <w:rsid w:val="006B0799"/>
    <w:rsid w:val="006B229B"/>
    <w:rsid w:val="006B28D1"/>
    <w:rsid w:val="006B387D"/>
    <w:rsid w:val="006B3A30"/>
    <w:rsid w:val="006B45A9"/>
    <w:rsid w:val="006B5119"/>
    <w:rsid w:val="006B662D"/>
    <w:rsid w:val="006B6978"/>
    <w:rsid w:val="006C0518"/>
    <w:rsid w:val="006C0ADE"/>
    <w:rsid w:val="006C4842"/>
    <w:rsid w:val="006C4BC8"/>
    <w:rsid w:val="006C51CE"/>
    <w:rsid w:val="006C73D6"/>
    <w:rsid w:val="006C791C"/>
    <w:rsid w:val="006D0C19"/>
    <w:rsid w:val="006D2790"/>
    <w:rsid w:val="006D395C"/>
    <w:rsid w:val="006D3B88"/>
    <w:rsid w:val="006D49DF"/>
    <w:rsid w:val="006D4A6C"/>
    <w:rsid w:val="006D5A02"/>
    <w:rsid w:val="006D5F00"/>
    <w:rsid w:val="006E0709"/>
    <w:rsid w:val="006E143B"/>
    <w:rsid w:val="006E3F43"/>
    <w:rsid w:val="006E408D"/>
    <w:rsid w:val="006E481F"/>
    <w:rsid w:val="006F008C"/>
    <w:rsid w:val="006F2414"/>
    <w:rsid w:val="006F53A6"/>
    <w:rsid w:val="006F7475"/>
    <w:rsid w:val="006F7981"/>
    <w:rsid w:val="006F7D5D"/>
    <w:rsid w:val="006F7FB7"/>
    <w:rsid w:val="00701F60"/>
    <w:rsid w:val="007027B1"/>
    <w:rsid w:val="007031B9"/>
    <w:rsid w:val="00703E01"/>
    <w:rsid w:val="00705336"/>
    <w:rsid w:val="007053D4"/>
    <w:rsid w:val="007110D2"/>
    <w:rsid w:val="007121F1"/>
    <w:rsid w:val="007126D5"/>
    <w:rsid w:val="00713AAC"/>
    <w:rsid w:val="00714873"/>
    <w:rsid w:val="00714B18"/>
    <w:rsid w:val="00714E89"/>
    <w:rsid w:val="00715E49"/>
    <w:rsid w:val="00716C38"/>
    <w:rsid w:val="0072188D"/>
    <w:rsid w:val="00721CF0"/>
    <w:rsid w:val="00722016"/>
    <w:rsid w:val="00722A87"/>
    <w:rsid w:val="00722DBF"/>
    <w:rsid w:val="007230BC"/>
    <w:rsid w:val="00723B03"/>
    <w:rsid w:val="0073004D"/>
    <w:rsid w:val="00730881"/>
    <w:rsid w:val="007328E4"/>
    <w:rsid w:val="00732EAB"/>
    <w:rsid w:val="007333B9"/>
    <w:rsid w:val="0073404E"/>
    <w:rsid w:val="00734330"/>
    <w:rsid w:val="007346CD"/>
    <w:rsid w:val="00734F2B"/>
    <w:rsid w:val="00735145"/>
    <w:rsid w:val="00735273"/>
    <w:rsid w:val="00735BAF"/>
    <w:rsid w:val="00735C90"/>
    <w:rsid w:val="007360B3"/>
    <w:rsid w:val="0073624E"/>
    <w:rsid w:val="007364E3"/>
    <w:rsid w:val="0073681D"/>
    <w:rsid w:val="00740C5B"/>
    <w:rsid w:val="007438DF"/>
    <w:rsid w:val="007446DC"/>
    <w:rsid w:val="00746061"/>
    <w:rsid w:val="00747177"/>
    <w:rsid w:val="007474DE"/>
    <w:rsid w:val="00753C60"/>
    <w:rsid w:val="0075449F"/>
    <w:rsid w:val="0075736C"/>
    <w:rsid w:val="007603BB"/>
    <w:rsid w:val="00762261"/>
    <w:rsid w:val="007637FA"/>
    <w:rsid w:val="00763F80"/>
    <w:rsid w:val="007646FA"/>
    <w:rsid w:val="007657C1"/>
    <w:rsid w:val="00765E53"/>
    <w:rsid w:val="00766007"/>
    <w:rsid w:val="007672E2"/>
    <w:rsid w:val="0077286D"/>
    <w:rsid w:val="00772E9C"/>
    <w:rsid w:val="00775348"/>
    <w:rsid w:val="00775967"/>
    <w:rsid w:val="00776126"/>
    <w:rsid w:val="007761BD"/>
    <w:rsid w:val="00776254"/>
    <w:rsid w:val="00776328"/>
    <w:rsid w:val="007765FA"/>
    <w:rsid w:val="00776918"/>
    <w:rsid w:val="00776ECA"/>
    <w:rsid w:val="00780BEC"/>
    <w:rsid w:val="00780D81"/>
    <w:rsid w:val="00783615"/>
    <w:rsid w:val="0078379F"/>
    <w:rsid w:val="0078382C"/>
    <w:rsid w:val="00784A5A"/>
    <w:rsid w:val="00784FA8"/>
    <w:rsid w:val="007867E5"/>
    <w:rsid w:val="0078704B"/>
    <w:rsid w:val="007902EB"/>
    <w:rsid w:val="00790F5A"/>
    <w:rsid w:val="0079104D"/>
    <w:rsid w:val="00791AE8"/>
    <w:rsid w:val="00791F68"/>
    <w:rsid w:val="00791F8D"/>
    <w:rsid w:val="007975E9"/>
    <w:rsid w:val="007A1C61"/>
    <w:rsid w:val="007A1FFA"/>
    <w:rsid w:val="007A23FA"/>
    <w:rsid w:val="007A3ED8"/>
    <w:rsid w:val="007A5240"/>
    <w:rsid w:val="007A601C"/>
    <w:rsid w:val="007B2501"/>
    <w:rsid w:val="007B25F7"/>
    <w:rsid w:val="007B2EC2"/>
    <w:rsid w:val="007B5E35"/>
    <w:rsid w:val="007B66F1"/>
    <w:rsid w:val="007B7B2D"/>
    <w:rsid w:val="007B7F7B"/>
    <w:rsid w:val="007C1973"/>
    <w:rsid w:val="007C2383"/>
    <w:rsid w:val="007C3E65"/>
    <w:rsid w:val="007C4277"/>
    <w:rsid w:val="007C5143"/>
    <w:rsid w:val="007C5731"/>
    <w:rsid w:val="007C7352"/>
    <w:rsid w:val="007D0AEC"/>
    <w:rsid w:val="007D1603"/>
    <w:rsid w:val="007D1F6B"/>
    <w:rsid w:val="007D2F97"/>
    <w:rsid w:val="007D36F9"/>
    <w:rsid w:val="007D43BF"/>
    <w:rsid w:val="007D459A"/>
    <w:rsid w:val="007D4DA0"/>
    <w:rsid w:val="007D66FD"/>
    <w:rsid w:val="007E1521"/>
    <w:rsid w:val="007E1F2E"/>
    <w:rsid w:val="007E269A"/>
    <w:rsid w:val="007E30C9"/>
    <w:rsid w:val="007E4827"/>
    <w:rsid w:val="007E580E"/>
    <w:rsid w:val="007E5C50"/>
    <w:rsid w:val="007E73E1"/>
    <w:rsid w:val="007E7974"/>
    <w:rsid w:val="007F02D8"/>
    <w:rsid w:val="007F50D8"/>
    <w:rsid w:val="007F5AFD"/>
    <w:rsid w:val="007F6685"/>
    <w:rsid w:val="00801C73"/>
    <w:rsid w:val="00803193"/>
    <w:rsid w:val="0080446F"/>
    <w:rsid w:val="00804B64"/>
    <w:rsid w:val="008057E5"/>
    <w:rsid w:val="008103D6"/>
    <w:rsid w:val="00810E7C"/>
    <w:rsid w:val="0081301F"/>
    <w:rsid w:val="0081351E"/>
    <w:rsid w:val="00815662"/>
    <w:rsid w:val="00815E1E"/>
    <w:rsid w:val="00816708"/>
    <w:rsid w:val="00816CBC"/>
    <w:rsid w:val="00816D73"/>
    <w:rsid w:val="00817C59"/>
    <w:rsid w:val="008202DE"/>
    <w:rsid w:val="00821652"/>
    <w:rsid w:val="008216D1"/>
    <w:rsid w:val="00822712"/>
    <w:rsid w:val="00822999"/>
    <w:rsid w:val="008238D1"/>
    <w:rsid w:val="00824BBF"/>
    <w:rsid w:val="00831E07"/>
    <w:rsid w:val="00833307"/>
    <w:rsid w:val="008333C1"/>
    <w:rsid w:val="00833BC8"/>
    <w:rsid w:val="00834657"/>
    <w:rsid w:val="00834828"/>
    <w:rsid w:val="0083579A"/>
    <w:rsid w:val="00835AC6"/>
    <w:rsid w:val="008409B7"/>
    <w:rsid w:val="00841A89"/>
    <w:rsid w:val="008425A5"/>
    <w:rsid w:val="00842B3F"/>
    <w:rsid w:val="00843ABA"/>
    <w:rsid w:val="00844C5C"/>
    <w:rsid w:val="008454CB"/>
    <w:rsid w:val="008457FC"/>
    <w:rsid w:val="008465F4"/>
    <w:rsid w:val="008473E3"/>
    <w:rsid w:val="00847AD2"/>
    <w:rsid w:val="00851432"/>
    <w:rsid w:val="0085152E"/>
    <w:rsid w:val="00853B1C"/>
    <w:rsid w:val="00854298"/>
    <w:rsid w:val="0085673B"/>
    <w:rsid w:val="00860F46"/>
    <w:rsid w:val="00861841"/>
    <w:rsid w:val="00861DB8"/>
    <w:rsid w:val="00861E58"/>
    <w:rsid w:val="00862800"/>
    <w:rsid w:val="00863139"/>
    <w:rsid w:val="00866016"/>
    <w:rsid w:val="00866494"/>
    <w:rsid w:val="00870149"/>
    <w:rsid w:val="0087045D"/>
    <w:rsid w:val="00872097"/>
    <w:rsid w:val="00872EB8"/>
    <w:rsid w:val="0087387F"/>
    <w:rsid w:val="0087414D"/>
    <w:rsid w:val="008761FB"/>
    <w:rsid w:val="008767DB"/>
    <w:rsid w:val="008807A3"/>
    <w:rsid w:val="00880E5C"/>
    <w:rsid w:val="0088146E"/>
    <w:rsid w:val="00881927"/>
    <w:rsid w:val="00881D34"/>
    <w:rsid w:val="008834BA"/>
    <w:rsid w:val="00883690"/>
    <w:rsid w:val="00883C6F"/>
    <w:rsid w:val="00884360"/>
    <w:rsid w:val="0088520C"/>
    <w:rsid w:val="00885BE4"/>
    <w:rsid w:val="0088656E"/>
    <w:rsid w:val="00892203"/>
    <w:rsid w:val="0089277B"/>
    <w:rsid w:val="00893BB3"/>
    <w:rsid w:val="00895C9C"/>
    <w:rsid w:val="008960E2"/>
    <w:rsid w:val="00897E14"/>
    <w:rsid w:val="008A15FA"/>
    <w:rsid w:val="008A1DB9"/>
    <w:rsid w:val="008A2551"/>
    <w:rsid w:val="008A2C44"/>
    <w:rsid w:val="008A2DAE"/>
    <w:rsid w:val="008A3C2C"/>
    <w:rsid w:val="008A3C98"/>
    <w:rsid w:val="008A3D97"/>
    <w:rsid w:val="008A4721"/>
    <w:rsid w:val="008A528D"/>
    <w:rsid w:val="008B06FA"/>
    <w:rsid w:val="008B086C"/>
    <w:rsid w:val="008B1728"/>
    <w:rsid w:val="008B23B5"/>
    <w:rsid w:val="008B2C50"/>
    <w:rsid w:val="008B2C93"/>
    <w:rsid w:val="008B3636"/>
    <w:rsid w:val="008B41EA"/>
    <w:rsid w:val="008B4EED"/>
    <w:rsid w:val="008B6873"/>
    <w:rsid w:val="008B68B6"/>
    <w:rsid w:val="008B78C4"/>
    <w:rsid w:val="008C0A84"/>
    <w:rsid w:val="008C1732"/>
    <w:rsid w:val="008C1BE3"/>
    <w:rsid w:val="008C2CE0"/>
    <w:rsid w:val="008C5902"/>
    <w:rsid w:val="008C604A"/>
    <w:rsid w:val="008C611C"/>
    <w:rsid w:val="008C6308"/>
    <w:rsid w:val="008C7443"/>
    <w:rsid w:val="008C7D87"/>
    <w:rsid w:val="008D086A"/>
    <w:rsid w:val="008D246F"/>
    <w:rsid w:val="008D3113"/>
    <w:rsid w:val="008D3BCF"/>
    <w:rsid w:val="008D41D4"/>
    <w:rsid w:val="008D74E1"/>
    <w:rsid w:val="008E0E4D"/>
    <w:rsid w:val="008E2377"/>
    <w:rsid w:val="008E279E"/>
    <w:rsid w:val="008E3D07"/>
    <w:rsid w:val="008E40B9"/>
    <w:rsid w:val="008E5117"/>
    <w:rsid w:val="008F1881"/>
    <w:rsid w:val="008F269B"/>
    <w:rsid w:val="008F3F10"/>
    <w:rsid w:val="008F4957"/>
    <w:rsid w:val="008F4BC4"/>
    <w:rsid w:val="008F6036"/>
    <w:rsid w:val="008F62EA"/>
    <w:rsid w:val="008F6CA9"/>
    <w:rsid w:val="008F76CB"/>
    <w:rsid w:val="008F7B8B"/>
    <w:rsid w:val="00900057"/>
    <w:rsid w:val="009011C4"/>
    <w:rsid w:val="009011F8"/>
    <w:rsid w:val="009029DF"/>
    <w:rsid w:val="0090354B"/>
    <w:rsid w:val="009041C5"/>
    <w:rsid w:val="009042BC"/>
    <w:rsid w:val="009046E3"/>
    <w:rsid w:val="00910A68"/>
    <w:rsid w:val="009113B7"/>
    <w:rsid w:val="00912882"/>
    <w:rsid w:val="009142C1"/>
    <w:rsid w:val="00915F83"/>
    <w:rsid w:val="00917064"/>
    <w:rsid w:val="0092008D"/>
    <w:rsid w:val="009200B0"/>
    <w:rsid w:val="00921326"/>
    <w:rsid w:val="00922333"/>
    <w:rsid w:val="00922DA8"/>
    <w:rsid w:val="009240EB"/>
    <w:rsid w:val="00924D49"/>
    <w:rsid w:val="00924EBA"/>
    <w:rsid w:val="00924EE1"/>
    <w:rsid w:val="0092546D"/>
    <w:rsid w:val="00926255"/>
    <w:rsid w:val="00926DAD"/>
    <w:rsid w:val="00931959"/>
    <w:rsid w:val="00932159"/>
    <w:rsid w:val="00932D10"/>
    <w:rsid w:val="00933765"/>
    <w:rsid w:val="00933A78"/>
    <w:rsid w:val="009342EB"/>
    <w:rsid w:val="00934D08"/>
    <w:rsid w:val="00934D12"/>
    <w:rsid w:val="00935A3B"/>
    <w:rsid w:val="00935C41"/>
    <w:rsid w:val="00937A35"/>
    <w:rsid w:val="009400F2"/>
    <w:rsid w:val="00940BC9"/>
    <w:rsid w:val="009421D8"/>
    <w:rsid w:val="00942261"/>
    <w:rsid w:val="00942750"/>
    <w:rsid w:val="00942EC5"/>
    <w:rsid w:val="00943FEC"/>
    <w:rsid w:val="00944CA1"/>
    <w:rsid w:val="00945506"/>
    <w:rsid w:val="00945E98"/>
    <w:rsid w:val="00945F23"/>
    <w:rsid w:val="00947ABF"/>
    <w:rsid w:val="00951CE9"/>
    <w:rsid w:val="00952EE0"/>
    <w:rsid w:val="00953DD9"/>
    <w:rsid w:val="00954121"/>
    <w:rsid w:val="00954AD3"/>
    <w:rsid w:val="009553D9"/>
    <w:rsid w:val="009559CB"/>
    <w:rsid w:val="0095657F"/>
    <w:rsid w:val="00956FC2"/>
    <w:rsid w:val="0095762D"/>
    <w:rsid w:val="00957A63"/>
    <w:rsid w:val="00957D49"/>
    <w:rsid w:val="00960BB2"/>
    <w:rsid w:val="009641E7"/>
    <w:rsid w:val="00964A81"/>
    <w:rsid w:val="00964B3F"/>
    <w:rsid w:val="00964B55"/>
    <w:rsid w:val="009650D2"/>
    <w:rsid w:val="009658F6"/>
    <w:rsid w:val="009659E2"/>
    <w:rsid w:val="00970B44"/>
    <w:rsid w:val="00971F0D"/>
    <w:rsid w:val="0097244C"/>
    <w:rsid w:val="009728CE"/>
    <w:rsid w:val="00972AA9"/>
    <w:rsid w:val="0097345A"/>
    <w:rsid w:val="00975C64"/>
    <w:rsid w:val="0097609C"/>
    <w:rsid w:val="00976DBC"/>
    <w:rsid w:val="00976EB1"/>
    <w:rsid w:val="00977759"/>
    <w:rsid w:val="00980B13"/>
    <w:rsid w:val="00983747"/>
    <w:rsid w:val="00984781"/>
    <w:rsid w:val="009848E0"/>
    <w:rsid w:val="0098542E"/>
    <w:rsid w:val="00985441"/>
    <w:rsid w:val="00986626"/>
    <w:rsid w:val="009868BD"/>
    <w:rsid w:val="00986DA0"/>
    <w:rsid w:val="009902CD"/>
    <w:rsid w:val="00990489"/>
    <w:rsid w:val="00993747"/>
    <w:rsid w:val="009938B9"/>
    <w:rsid w:val="00993C80"/>
    <w:rsid w:val="00993E1C"/>
    <w:rsid w:val="009962F7"/>
    <w:rsid w:val="009A264A"/>
    <w:rsid w:val="009A2DB9"/>
    <w:rsid w:val="009A3657"/>
    <w:rsid w:val="009A44A4"/>
    <w:rsid w:val="009A4DC1"/>
    <w:rsid w:val="009A6AF3"/>
    <w:rsid w:val="009A7C92"/>
    <w:rsid w:val="009B0F28"/>
    <w:rsid w:val="009B1CDC"/>
    <w:rsid w:val="009B290C"/>
    <w:rsid w:val="009B2D2A"/>
    <w:rsid w:val="009B3389"/>
    <w:rsid w:val="009B33BA"/>
    <w:rsid w:val="009B3D95"/>
    <w:rsid w:val="009B5FE7"/>
    <w:rsid w:val="009B6636"/>
    <w:rsid w:val="009B6AFE"/>
    <w:rsid w:val="009C00ED"/>
    <w:rsid w:val="009C1032"/>
    <w:rsid w:val="009C2C6F"/>
    <w:rsid w:val="009C3B00"/>
    <w:rsid w:val="009C4CF4"/>
    <w:rsid w:val="009C51A8"/>
    <w:rsid w:val="009C5A55"/>
    <w:rsid w:val="009C7736"/>
    <w:rsid w:val="009D1046"/>
    <w:rsid w:val="009D1445"/>
    <w:rsid w:val="009D24CC"/>
    <w:rsid w:val="009D2D1D"/>
    <w:rsid w:val="009D4731"/>
    <w:rsid w:val="009D49C2"/>
    <w:rsid w:val="009D4CA7"/>
    <w:rsid w:val="009D5314"/>
    <w:rsid w:val="009D5D87"/>
    <w:rsid w:val="009D75F3"/>
    <w:rsid w:val="009E03EE"/>
    <w:rsid w:val="009E1508"/>
    <w:rsid w:val="009E2BBD"/>
    <w:rsid w:val="009E2FBB"/>
    <w:rsid w:val="009E34E3"/>
    <w:rsid w:val="009E39BA"/>
    <w:rsid w:val="009E4165"/>
    <w:rsid w:val="009E4D0E"/>
    <w:rsid w:val="009E7C7A"/>
    <w:rsid w:val="009E7ED0"/>
    <w:rsid w:val="009F0EEC"/>
    <w:rsid w:val="009F108D"/>
    <w:rsid w:val="009F191B"/>
    <w:rsid w:val="009F35A7"/>
    <w:rsid w:val="009F3CF5"/>
    <w:rsid w:val="009F3EEA"/>
    <w:rsid w:val="00A01B0D"/>
    <w:rsid w:val="00A020D2"/>
    <w:rsid w:val="00A024BE"/>
    <w:rsid w:val="00A03166"/>
    <w:rsid w:val="00A03A1F"/>
    <w:rsid w:val="00A04785"/>
    <w:rsid w:val="00A05648"/>
    <w:rsid w:val="00A069D1"/>
    <w:rsid w:val="00A103CA"/>
    <w:rsid w:val="00A104C9"/>
    <w:rsid w:val="00A10DE6"/>
    <w:rsid w:val="00A126ED"/>
    <w:rsid w:val="00A1286B"/>
    <w:rsid w:val="00A1546B"/>
    <w:rsid w:val="00A16808"/>
    <w:rsid w:val="00A16F33"/>
    <w:rsid w:val="00A172CF"/>
    <w:rsid w:val="00A21D1D"/>
    <w:rsid w:val="00A23477"/>
    <w:rsid w:val="00A23BA0"/>
    <w:rsid w:val="00A249CF"/>
    <w:rsid w:val="00A25481"/>
    <w:rsid w:val="00A25656"/>
    <w:rsid w:val="00A26A74"/>
    <w:rsid w:val="00A26B24"/>
    <w:rsid w:val="00A27A6F"/>
    <w:rsid w:val="00A30488"/>
    <w:rsid w:val="00A310A8"/>
    <w:rsid w:val="00A318ED"/>
    <w:rsid w:val="00A3290E"/>
    <w:rsid w:val="00A34C66"/>
    <w:rsid w:val="00A3611E"/>
    <w:rsid w:val="00A367E3"/>
    <w:rsid w:val="00A3738D"/>
    <w:rsid w:val="00A37646"/>
    <w:rsid w:val="00A3780C"/>
    <w:rsid w:val="00A379D6"/>
    <w:rsid w:val="00A427AA"/>
    <w:rsid w:val="00A42DA9"/>
    <w:rsid w:val="00A433C2"/>
    <w:rsid w:val="00A442A9"/>
    <w:rsid w:val="00A47EDC"/>
    <w:rsid w:val="00A5076A"/>
    <w:rsid w:val="00A50933"/>
    <w:rsid w:val="00A535AA"/>
    <w:rsid w:val="00A55292"/>
    <w:rsid w:val="00A60543"/>
    <w:rsid w:val="00A6179A"/>
    <w:rsid w:val="00A624F4"/>
    <w:rsid w:val="00A625E8"/>
    <w:rsid w:val="00A6368D"/>
    <w:rsid w:val="00A63C6F"/>
    <w:rsid w:val="00A63D6D"/>
    <w:rsid w:val="00A648AF"/>
    <w:rsid w:val="00A64E9A"/>
    <w:rsid w:val="00A652C2"/>
    <w:rsid w:val="00A65F47"/>
    <w:rsid w:val="00A67388"/>
    <w:rsid w:val="00A6763E"/>
    <w:rsid w:val="00A67AFC"/>
    <w:rsid w:val="00A70454"/>
    <w:rsid w:val="00A71B16"/>
    <w:rsid w:val="00A7253C"/>
    <w:rsid w:val="00A72D03"/>
    <w:rsid w:val="00A7361E"/>
    <w:rsid w:val="00A758E4"/>
    <w:rsid w:val="00A75A7A"/>
    <w:rsid w:val="00A77A6B"/>
    <w:rsid w:val="00A77E15"/>
    <w:rsid w:val="00A80311"/>
    <w:rsid w:val="00A815C2"/>
    <w:rsid w:val="00A84532"/>
    <w:rsid w:val="00A85C8D"/>
    <w:rsid w:val="00A87414"/>
    <w:rsid w:val="00A87792"/>
    <w:rsid w:val="00A92C3A"/>
    <w:rsid w:val="00A92D6F"/>
    <w:rsid w:val="00A95621"/>
    <w:rsid w:val="00A9652A"/>
    <w:rsid w:val="00A96AFC"/>
    <w:rsid w:val="00A9731A"/>
    <w:rsid w:val="00A97BDD"/>
    <w:rsid w:val="00AA015D"/>
    <w:rsid w:val="00AA0A40"/>
    <w:rsid w:val="00AA1509"/>
    <w:rsid w:val="00AA207D"/>
    <w:rsid w:val="00AA2416"/>
    <w:rsid w:val="00AA2878"/>
    <w:rsid w:val="00AA3564"/>
    <w:rsid w:val="00AA3D79"/>
    <w:rsid w:val="00AA4552"/>
    <w:rsid w:val="00AA6250"/>
    <w:rsid w:val="00AA6577"/>
    <w:rsid w:val="00AA7413"/>
    <w:rsid w:val="00AA7B99"/>
    <w:rsid w:val="00AB5539"/>
    <w:rsid w:val="00AB6DB7"/>
    <w:rsid w:val="00AC1C0E"/>
    <w:rsid w:val="00AC2F00"/>
    <w:rsid w:val="00AC455D"/>
    <w:rsid w:val="00AC4C6E"/>
    <w:rsid w:val="00AC5A62"/>
    <w:rsid w:val="00AC77A0"/>
    <w:rsid w:val="00AD058F"/>
    <w:rsid w:val="00AD07C5"/>
    <w:rsid w:val="00AD101B"/>
    <w:rsid w:val="00AD114A"/>
    <w:rsid w:val="00AD2772"/>
    <w:rsid w:val="00AD3141"/>
    <w:rsid w:val="00AD52F0"/>
    <w:rsid w:val="00AD5DF1"/>
    <w:rsid w:val="00AD5F5D"/>
    <w:rsid w:val="00AD60D6"/>
    <w:rsid w:val="00AD637C"/>
    <w:rsid w:val="00AD68EF"/>
    <w:rsid w:val="00AD6998"/>
    <w:rsid w:val="00AD7A95"/>
    <w:rsid w:val="00AE00DE"/>
    <w:rsid w:val="00AE148C"/>
    <w:rsid w:val="00AE16C0"/>
    <w:rsid w:val="00AE247E"/>
    <w:rsid w:val="00AE2CA5"/>
    <w:rsid w:val="00AE3673"/>
    <w:rsid w:val="00AE7273"/>
    <w:rsid w:val="00AF1FAF"/>
    <w:rsid w:val="00AF2BB4"/>
    <w:rsid w:val="00AF3622"/>
    <w:rsid w:val="00AF39B2"/>
    <w:rsid w:val="00AF6EF6"/>
    <w:rsid w:val="00AF73B1"/>
    <w:rsid w:val="00AF799F"/>
    <w:rsid w:val="00AF7AC0"/>
    <w:rsid w:val="00B0090B"/>
    <w:rsid w:val="00B015F5"/>
    <w:rsid w:val="00B0295A"/>
    <w:rsid w:val="00B036FB"/>
    <w:rsid w:val="00B0468E"/>
    <w:rsid w:val="00B055B4"/>
    <w:rsid w:val="00B056CD"/>
    <w:rsid w:val="00B05950"/>
    <w:rsid w:val="00B073B8"/>
    <w:rsid w:val="00B105E9"/>
    <w:rsid w:val="00B111AA"/>
    <w:rsid w:val="00B12414"/>
    <w:rsid w:val="00B12719"/>
    <w:rsid w:val="00B12F81"/>
    <w:rsid w:val="00B132F1"/>
    <w:rsid w:val="00B1333D"/>
    <w:rsid w:val="00B15904"/>
    <w:rsid w:val="00B16070"/>
    <w:rsid w:val="00B16A21"/>
    <w:rsid w:val="00B20A24"/>
    <w:rsid w:val="00B21AB8"/>
    <w:rsid w:val="00B227B0"/>
    <w:rsid w:val="00B22F84"/>
    <w:rsid w:val="00B230F3"/>
    <w:rsid w:val="00B24051"/>
    <w:rsid w:val="00B244DC"/>
    <w:rsid w:val="00B24CB7"/>
    <w:rsid w:val="00B2560E"/>
    <w:rsid w:val="00B26CDB"/>
    <w:rsid w:val="00B2703C"/>
    <w:rsid w:val="00B2705D"/>
    <w:rsid w:val="00B33A90"/>
    <w:rsid w:val="00B33AE1"/>
    <w:rsid w:val="00B34745"/>
    <w:rsid w:val="00B36327"/>
    <w:rsid w:val="00B376A3"/>
    <w:rsid w:val="00B37BA2"/>
    <w:rsid w:val="00B413ED"/>
    <w:rsid w:val="00B41DA5"/>
    <w:rsid w:val="00B42AC9"/>
    <w:rsid w:val="00B42E95"/>
    <w:rsid w:val="00B43423"/>
    <w:rsid w:val="00B447A1"/>
    <w:rsid w:val="00B4493B"/>
    <w:rsid w:val="00B452A2"/>
    <w:rsid w:val="00B452EA"/>
    <w:rsid w:val="00B460E6"/>
    <w:rsid w:val="00B50DC0"/>
    <w:rsid w:val="00B512B9"/>
    <w:rsid w:val="00B51A24"/>
    <w:rsid w:val="00B527A4"/>
    <w:rsid w:val="00B527D2"/>
    <w:rsid w:val="00B54A42"/>
    <w:rsid w:val="00B54A74"/>
    <w:rsid w:val="00B561A3"/>
    <w:rsid w:val="00B56712"/>
    <w:rsid w:val="00B56ABB"/>
    <w:rsid w:val="00B57B9D"/>
    <w:rsid w:val="00B6006B"/>
    <w:rsid w:val="00B60C65"/>
    <w:rsid w:val="00B61BC6"/>
    <w:rsid w:val="00B62587"/>
    <w:rsid w:val="00B64F05"/>
    <w:rsid w:val="00B66223"/>
    <w:rsid w:val="00B66707"/>
    <w:rsid w:val="00B6744D"/>
    <w:rsid w:val="00B67B5A"/>
    <w:rsid w:val="00B67C35"/>
    <w:rsid w:val="00B67C4F"/>
    <w:rsid w:val="00B70B8F"/>
    <w:rsid w:val="00B70D4C"/>
    <w:rsid w:val="00B72FFB"/>
    <w:rsid w:val="00B73417"/>
    <w:rsid w:val="00B7360B"/>
    <w:rsid w:val="00B73C22"/>
    <w:rsid w:val="00B73EC6"/>
    <w:rsid w:val="00B74435"/>
    <w:rsid w:val="00B74AF5"/>
    <w:rsid w:val="00B75D7F"/>
    <w:rsid w:val="00B76034"/>
    <w:rsid w:val="00B77884"/>
    <w:rsid w:val="00B778B0"/>
    <w:rsid w:val="00B80D2D"/>
    <w:rsid w:val="00B81416"/>
    <w:rsid w:val="00B81694"/>
    <w:rsid w:val="00B81B72"/>
    <w:rsid w:val="00B8333A"/>
    <w:rsid w:val="00B83706"/>
    <w:rsid w:val="00B84A64"/>
    <w:rsid w:val="00B90501"/>
    <w:rsid w:val="00B90DF8"/>
    <w:rsid w:val="00B90F55"/>
    <w:rsid w:val="00B91B6D"/>
    <w:rsid w:val="00B9230F"/>
    <w:rsid w:val="00B92FDB"/>
    <w:rsid w:val="00B93B54"/>
    <w:rsid w:val="00B93C69"/>
    <w:rsid w:val="00B95454"/>
    <w:rsid w:val="00B95635"/>
    <w:rsid w:val="00B9626A"/>
    <w:rsid w:val="00B97280"/>
    <w:rsid w:val="00B97A4A"/>
    <w:rsid w:val="00BA4439"/>
    <w:rsid w:val="00BA4E44"/>
    <w:rsid w:val="00BA5BFE"/>
    <w:rsid w:val="00BA6ACB"/>
    <w:rsid w:val="00BA6E73"/>
    <w:rsid w:val="00BB2CED"/>
    <w:rsid w:val="00BB4375"/>
    <w:rsid w:val="00BB45F9"/>
    <w:rsid w:val="00BB5944"/>
    <w:rsid w:val="00BB5D42"/>
    <w:rsid w:val="00BB684F"/>
    <w:rsid w:val="00BC0D29"/>
    <w:rsid w:val="00BC16E9"/>
    <w:rsid w:val="00BC2862"/>
    <w:rsid w:val="00BC3651"/>
    <w:rsid w:val="00BC4586"/>
    <w:rsid w:val="00BC5694"/>
    <w:rsid w:val="00BC5FC0"/>
    <w:rsid w:val="00BC7830"/>
    <w:rsid w:val="00BC7A72"/>
    <w:rsid w:val="00BD004B"/>
    <w:rsid w:val="00BD0F68"/>
    <w:rsid w:val="00BD1B53"/>
    <w:rsid w:val="00BD2076"/>
    <w:rsid w:val="00BD2E4C"/>
    <w:rsid w:val="00BD4D9A"/>
    <w:rsid w:val="00BD5952"/>
    <w:rsid w:val="00BD6BAE"/>
    <w:rsid w:val="00BD6EDA"/>
    <w:rsid w:val="00BE2537"/>
    <w:rsid w:val="00BE2F9A"/>
    <w:rsid w:val="00BE31D4"/>
    <w:rsid w:val="00BE4DC2"/>
    <w:rsid w:val="00BE4F1F"/>
    <w:rsid w:val="00BE69F0"/>
    <w:rsid w:val="00BE7BD9"/>
    <w:rsid w:val="00BF0AEB"/>
    <w:rsid w:val="00BF214E"/>
    <w:rsid w:val="00BF3D22"/>
    <w:rsid w:val="00BF4B51"/>
    <w:rsid w:val="00BF4D87"/>
    <w:rsid w:val="00BF5ADB"/>
    <w:rsid w:val="00BF6685"/>
    <w:rsid w:val="00BF7037"/>
    <w:rsid w:val="00BF70ED"/>
    <w:rsid w:val="00BF7FF6"/>
    <w:rsid w:val="00C022F7"/>
    <w:rsid w:val="00C05FBF"/>
    <w:rsid w:val="00C06640"/>
    <w:rsid w:val="00C07C33"/>
    <w:rsid w:val="00C1069D"/>
    <w:rsid w:val="00C119C0"/>
    <w:rsid w:val="00C12262"/>
    <w:rsid w:val="00C12302"/>
    <w:rsid w:val="00C124C5"/>
    <w:rsid w:val="00C1258C"/>
    <w:rsid w:val="00C128A2"/>
    <w:rsid w:val="00C12FDE"/>
    <w:rsid w:val="00C138AF"/>
    <w:rsid w:val="00C15290"/>
    <w:rsid w:val="00C20AD3"/>
    <w:rsid w:val="00C21139"/>
    <w:rsid w:val="00C2145F"/>
    <w:rsid w:val="00C21BA9"/>
    <w:rsid w:val="00C2364D"/>
    <w:rsid w:val="00C23B66"/>
    <w:rsid w:val="00C24111"/>
    <w:rsid w:val="00C25E33"/>
    <w:rsid w:val="00C263BD"/>
    <w:rsid w:val="00C2780E"/>
    <w:rsid w:val="00C32600"/>
    <w:rsid w:val="00C34169"/>
    <w:rsid w:val="00C34E82"/>
    <w:rsid w:val="00C3533D"/>
    <w:rsid w:val="00C35571"/>
    <w:rsid w:val="00C35C4F"/>
    <w:rsid w:val="00C3674C"/>
    <w:rsid w:val="00C36D7A"/>
    <w:rsid w:val="00C37220"/>
    <w:rsid w:val="00C377A2"/>
    <w:rsid w:val="00C40F25"/>
    <w:rsid w:val="00C4107C"/>
    <w:rsid w:val="00C41D7D"/>
    <w:rsid w:val="00C42070"/>
    <w:rsid w:val="00C4337B"/>
    <w:rsid w:val="00C43A59"/>
    <w:rsid w:val="00C455BC"/>
    <w:rsid w:val="00C4627B"/>
    <w:rsid w:val="00C4646E"/>
    <w:rsid w:val="00C54165"/>
    <w:rsid w:val="00C56A77"/>
    <w:rsid w:val="00C57C11"/>
    <w:rsid w:val="00C600BD"/>
    <w:rsid w:val="00C603C3"/>
    <w:rsid w:val="00C60697"/>
    <w:rsid w:val="00C61696"/>
    <w:rsid w:val="00C64D88"/>
    <w:rsid w:val="00C65C58"/>
    <w:rsid w:val="00C66093"/>
    <w:rsid w:val="00C66217"/>
    <w:rsid w:val="00C678AA"/>
    <w:rsid w:val="00C67D22"/>
    <w:rsid w:val="00C67EB8"/>
    <w:rsid w:val="00C705CD"/>
    <w:rsid w:val="00C70BF0"/>
    <w:rsid w:val="00C739D9"/>
    <w:rsid w:val="00C76410"/>
    <w:rsid w:val="00C76771"/>
    <w:rsid w:val="00C76908"/>
    <w:rsid w:val="00C77A06"/>
    <w:rsid w:val="00C77C10"/>
    <w:rsid w:val="00C80321"/>
    <w:rsid w:val="00C8097E"/>
    <w:rsid w:val="00C80EDC"/>
    <w:rsid w:val="00C8229D"/>
    <w:rsid w:val="00C82EE3"/>
    <w:rsid w:val="00C838F7"/>
    <w:rsid w:val="00C84E59"/>
    <w:rsid w:val="00C85357"/>
    <w:rsid w:val="00C85403"/>
    <w:rsid w:val="00C85C94"/>
    <w:rsid w:val="00C86D2A"/>
    <w:rsid w:val="00C909AF"/>
    <w:rsid w:val="00C92200"/>
    <w:rsid w:val="00C92EC0"/>
    <w:rsid w:val="00C93D0F"/>
    <w:rsid w:val="00C96466"/>
    <w:rsid w:val="00C96974"/>
    <w:rsid w:val="00C974F6"/>
    <w:rsid w:val="00CA05E3"/>
    <w:rsid w:val="00CA24CD"/>
    <w:rsid w:val="00CA2C66"/>
    <w:rsid w:val="00CA32F6"/>
    <w:rsid w:val="00CA416C"/>
    <w:rsid w:val="00CA5D68"/>
    <w:rsid w:val="00CA6FBE"/>
    <w:rsid w:val="00CA7701"/>
    <w:rsid w:val="00CB0960"/>
    <w:rsid w:val="00CB0D3D"/>
    <w:rsid w:val="00CB11AA"/>
    <w:rsid w:val="00CB2022"/>
    <w:rsid w:val="00CB35E8"/>
    <w:rsid w:val="00CB3853"/>
    <w:rsid w:val="00CB5521"/>
    <w:rsid w:val="00CB5A9C"/>
    <w:rsid w:val="00CB627E"/>
    <w:rsid w:val="00CB633F"/>
    <w:rsid w:val="00CB6401"/>
    <w:rsid w:val="00CB6F72"/>
    <w:rsid w:val="00CB70E5"/>
    <w:rsid w:val="00CB799F"/>
    <w:rsid w:val="00CC01BE"/>
    <w:rsid w:val="00CC5207"/>
    <w:rsid w:val="00CC6931"/>
    <w:rsid w:val="00CC6C6F"/>
    <w:rsid w:val="00CC79DF"/>
    <w:rsid w:val="00CD032F"/>
    <w:rsid w:val="00CD0715"/>
    <w:rsid w:val="00CD1B9C"/>
    <w:rsid w:val="00CD232F"/>
    <w:rsid w:val="00CD3696"/>
    <w:rsid w:val="00CD3F5C"/>
    <w:rsid w:val="00CD4B26"/>
    <w:rsid w:val="00CD5E86"/>
    <w:rsid w:val="00CD6970"/>
    <w:rsid w:val="00CD6B0B"/>
    <w:rsid w:val="00CD6F83"/>
    <w:rsid w:val="00CD703E"/>
    <w:rsid w:val="00CD7CF0"/>
    <w:rsid w:val="00CE0415"/>
    <w:rsid w:val="00CE2AF0"/>
    <w:rsid w:val="00CE2B36"/>
    <w:rsid w:val="00CE4E63"/>
    <w:rsid w:val="00CE5BC0"/>
    <w:rsid w:val="00CE5FDC"/>
    <w:rsid w:val="00CE601D"/>
    <w:rsid w:val="00CF1ACF"/>
    <w:rsid w:val="00CF36B8"/>
    <w:rsid w:val="00CF47AE"/>
    <w:rsid w:val="00CF4BF5"/>
    <w:rsid w:val="00CF4C33"/>
    <w:rsid w:val="00CF610E"/>
    <w:rsid w:val="00CF66C3"/>
    <w:rsid w:val="00CF6AAA"/>
    <w:rsid w:val="00CF74EE"/>
    <w:rsid w:val="00D00473"/>
    <w:rsid w:val="00D02E19"/>
    <w:rsid w:val="00D033D4"/>
    <w:rsid w:val="00D039BC"/>
    <w:rsid w:val="00D0432F"/>
    <w:rsid w:val="00D049A9"/>
    <w:rsid w:val="00D05180"/>
    <w:rsid w:val="00D055E3"/>
    <w:rsid w:val="00D06C6B"/>
    <w:rsid w:val="00D071E2"/>
    <w:rsid w:val="00D07B36"/>
    <w:rsid w:val="00D07B7F"/>
    <w:rsid w:val="00D1197F"/>
    <w:rsid w:val="00D11C83"/>
    <w:rsid w:val="00D12253"/>
    <w:rsid w:val="00D12DEB"/>
    <w:rsid w:val="00D134C0"/>
    <w:rsid w:val="00D134CF"/>
    <w:rsid w:val="00D1375A"/>
    <w:rsid w:val="00D13D3A"/>
    <w:rsid w:val="00D13EE6"/>
    <w:rsid w:val="00D158CE"/>
    <w:rsid w:val="00D161F3"/>
    <w:rsid w:val="00D202EE"/>
    <w:rsid w:val="00D21399"/>
    <w:rsid w:val="00D21DBC"/>
    <w:rsid w:val="00D220C4"/>
    <w:rsid w:val="00D2221B"/>
    <w:rsid w:val="00D2267A"/>
    <w:rsid w:val="00D232CC"/>
    <w:rsid w:val="00D23476"/>
    <w:rsid w:val="00D23EE9"/>
    <w:rsid w:val="00D245E6"/>
    <w:rsid w:val="00D2549B"/>
    <w:rsid w:val="00D279D7"/>
    <w:rsid w:val="00D31B0E"/>
    <w:rsid w:val="00D32D5B"/>
    <w:rsid w:val="00D33572"/>
    <w:rsid w:val="00D341AD"/>
    <w:rsid w:val="00D34346"/>
    <w:rsid w:val="00D344D2"/>
    <w:rsid w:val="00D347F1"/>
    <w:rsid w:val="00D34F6A"/>
    <w:rsid w:val="00D36018"/>
    <w:rsid w:val="00D3634F"/>
    <w:rsid w:val="00D36CFC"/>
    <w:rsid w:val="00D40147"/>
    <w:rsid w:val="00D40FBF"/>
    <w:rsid w:val="00D41E9E"/>
    <w:rsid w:val="00D4282C"/>
    <w:rsid w:val="00D429F1"/>
    <w:rsid w:val="00D433E8"/>
    <w:rsid w:val="00D43713"/>
    <w:rsid w:val="00D447F8"/>
    <w:rsid w:val="00D44DCC"/>
    <w:rsid w:val="00D458FF"/>
    <w:rsid w:val="00D45B28"/>
    <w:rsid w:val="00D46298"/>
    <w:rsid w:val="00D50E4B"/>
    <w:rsid w:val="00D50F14"/>
    <w:rsid w:val="00D51168"/>
    <w:rsid w:val="00D5469B"/>
    <w:rsid w:val="00D57869"/>
    <w:rsid w:val="00D610C2"/>
    <w:rsid w:val="00D61563"/>
    <w:rsid w:val="00D62668"/>
    <w:rsid w:val="00D62889"/>
    <w:rsid w:val="00D62A8B"/>
    <w:rsid w:val="00D62CDE"/>
    <w:rsid w:val="00D63F6E"/>
    <w:rsid w:val="00D6705C"/>
    <w:rsid w:val="00D672AF"/>
    <w:rsid w:val="00D67635"/>
    <w:rsid w:val="00D678E2"/>
    <w:rsid w:val="00D67912"/>
    <w:rsid w:val="00D701A7"/>
    <w:rsid w:val="00D703EB"/>
    <w:rsid w:val="00D7252E"/>
    <w:rsid w:val="00D7287D"/>
    <w:rsid w:val="00D72AA5"/>
    <w:rsid w:val="00D73257"/>
    <w:rsid w:val="00D733A6"/>
    <w:rsid w:val="00D73543"/>
    <w:rsid w:val="00D74B88"/>
    <w:rsid w:val="00D75723"/>
    <w:rsid w:val="00D7596C"/>
    <w:rsid w:val="00D81054"/>
    <w:rsid w:val="00D814D2"/>
    <w:rsid w:val="00D81E75"/>
    <w:rsid w:val="00D82672"/>
    <w:rsid w:val="00D82B08"/>
    <w:rsid w:val="00D831DC"/>
    <w:rsid w:val="00D847DF"/>
    <w:rsid w:val="00D85606"/>
    <w:rsid w:val="00D85F46"/>
    <w:rsid w:val="00D863A0"/>
    <w:rsid w:val="00D87DF7"/>
    <w:rsid w:val="00D9014B"/>
    <w:rsid w:val="00D90622"/>
    <w:rsid w:val="00D90684"/>
    <w:rsid w:val="00D907B9"/>
    <w:rsid w:val="00D92165"/>
    <w:rsid w:val="00D92BB3"/>
    <w:rsid w:val="00D95CF9"/>
    <w:rsid w:val="00D96070"/>
    <w:rsid w:val="00DA0722"/>
    <w:rsid w:val="00DA0C9A"/>
    <w:rsid w:val="00DA0D34"/>
    <w:rsid w:val="00DA1E7E"/>
    <w:rsid w:val="00DA2007"/>
    <w:rsid w:val="00DA2C19"/>
    <w:rsid w:val="00DA709F"/>
    <w:rsid w:val="00DB0197"/>
    <w:rsid w:val="00DB100B"/>
    <w:rsid w:val="00DB2470"/>
    <w:rsid w:val="00DB5537"/>
    <w:rsid w:val="00DB5A13"/>
    <w:rsid w:val="00DB6380"/>
    <w:rsid w:val="00DB66B3"/>
    <w:rsid w:val="00DC12BD"/>
    <w:rsid w:val="00DC1DAF"/>
    <w:rsid w:val="00DC30E8"/>
    <w:rsid w:val="00DC3737"/>
    <w:rsid w:val="00DC39FE"/>
    <w:rsid w:val="00DC634E"/>
    <w:rsid w:val="00DC7579"/>
    <w:rsid w:val="00DD088C"/>
    <w:rsid w:val="00DD15B0"/>
    <w:rsid w:val="00DD2003"/>
    <w:rsid w:val="00DD381C"/>
    <w:rsid w:val="00DD3B44"/>
    <w:rsid w:val="00DD4DEA"/>
    <w:rsid w:val="00DD4E95"/>
    <w:rsid w:val="00DE075F"/>
    <w:rsid w:val="00DE1177"/>
    <w:rsid w:val="00DE1361"/>
    <w:rsid w:val="00DE2CFC"/>
    <w:rsid w:val="00DE2E2B"/>
    <w:rsid w:val="00DE31B9"/>
    <w:rsid w:val="00DE35F5"/>
    <w:rsid w:val="00DE37DB"/>
    <w:rsid w:val="00DE4DC1"/>
    <w:rsid w:val="00DE4F0C"/>
    <w:rsid w:val="00DE54AF"/>
    <w:rsid w:val="00DE652B"/>
    <w:rsid w:val="00DE6899"/>
    <w:rsid w:val="00DE7567"/>
    <w:rsid w:val="00DF0502"/>
    <w:rsid w:val="00DF09C8"/>
    <w:rsid w:val="00DF14CE"/>
    <w:rsid w:val="00DF16F6"/>
    <w:rsid w:val="00DF17CD"/>
    <w:rsid w:val="00DF1D6B"/>
    <w:rsid w:val="00DF205D"/>
    <w:rsid w:val="00DF2AAA"/>
    <w:rsid w:val="00DF35FD"/>
    <w:rsid w:val="00DF43DD"/>
    <w:rsid w:val="00DF4526"/>
    <w:rsid w:val="00DF5C87"/>
    <w:rsid w:val="00DF6EC6"/>
    <w:rsid w:val="00E0044F"/>
    <w:rsid w:val="00E01863"/>
    <w:rsid w:val="00E01B8D"/>
    <w:rsid w:val="00E023C3"/>
    <w:rsid w:val="00E03773"/>
    <w:rsid w:val="00E05458"/>
    <w:rsid w:val="00E05E5F"/>
    <w:rsid w:val="00E060ED"/>
    <w:rsid w:val="00E07203"/>
    <w:rsid w:val="00E07383"/>
    <w:rsid w:val="00E077D1"/>
    <w:rsid w:val="00E0791C"/>
    <w:rsid w:val="00E104DF"/>
    <w:rsid w:val="00E10568"/>
    <w:rsid w:val="00E10C61"/>
    <w:rsid w:val="00E11645"/>
    <w:rsid w:val="00E116F3"/>
    <w:rsid w:val="00E11A80"/>
    <w:rsid w:val="00E11EBF"/>
    <w:rsid w:val="00E12138"/>
    <w:rsid w:val="00E127ED"/>
    <w:rsid w:val="00E130C9"/>
    <w:rsid w:val="00E13834"/>
    <w:rsid w:val="00E15283"/>
    <w:rsid w:val="00E15D93"/>
    <w:rsid w:val="00E176FB"/>
    <w:rsid w:val="00E177CB"/>
    <w:rsid w:val="00E17F36"/>
    <w:rsid w:val="00E2062D"/>
    <w:rsid w:val="00E20847"/>
    <w:rsid w:val="00E21B1A"/>
    <w:rsid w:val="00E2298D"/>
    <w:rsid w:val="00E239C1"/>
    <w:rsid w:val="00E23D4B"/>
    <w:rsid w:val="00E249D5"/>
    <w:rsid w:val="00E311D8"/>
    <w:rsid w:val="00E319DC"/>
    <w:rsid w:val="00E31B33"/>
    <w:rsid w:val="00E32D58"/>
    <w:rsid w:val="00E32E72"/>
    <w:rsid w:val="00E3350A"/>
    <w:rsid w:val="00E34AA7"/>
    <w:rsid w:val="00E34DDA"/>
    <w:rsid w:val="00E34FA5"/>
    <w:rsid w:val="00E35779"/>
    <w:rsid w:val="00E36C12"/>
    <w:rsid w:val="00E40356"/>
    <w:rsid w:val="00E40506"/>
    <w:rsid w:val="00E42046"/>
    <w:rsid w:val="00E435EF"/>
    <w:rsid w:val="00E44DE4"/>
    <w:rsid w:val="00E44F4A"/>
    <w:rsid w:val="00E45280"/>
    <w:rsid w:val="00E476F0"/>
    <w:rsid w:val="00E47AAF"/>
    <w:rsid w:val="00E47BD0"/>
    <w:rsid w:val="00E50092"/>
    <w:rsid w:val="00E52828"/>
    <w:rsid w:val="00E52F94"/>
    <w:rsid w:val="00E534F1"/>
    <w:rsid w:val="00E54DBD"/>
    <w:rsid w:val="00E56246"/>
    <w:rsid w:val="00E56FE6"/>
    <w:rsid w:val="00E60A91"/>
    <w:rsid w:val="00E625B4"/>
    <w:rsid w:val="00E63208"/>
    <w:rsid w:val="00E65FD1"/>
    <w:rsid w:val="00E67336"/>
    <w:rsid w:val="00E74C46"/>
    <w:rsid w:val="00E75012"/>
    <w:rsid w:val="00E75044"/>
    <w:rsid w:val="00E75341"/>
    <w:rsid w:val="00E754E7"/>
    <w:rsid w:val="00E75C2E"/>
    <w:rsid w:val="00E7643D"/>
    <w:rsid w:val="00E81237"/>
    <w:rsid w:val="00E81690"/>
    <w:rsid w:val="00E81A1E"/>
    <w:rsid w:val="00E82E46"/>
    <w:rsid w:val="00E83D9E"/>
    <w:rsid w:val="00E84DA3"/>
    <w:rsid w:val="00E85A6E"/>
    <w:rsid w:val="00E86D50"/>
    <w:rsid w:val="00E87DA3"/>
    <w:rsid w:val="00E90022"/>
    <w:rsid w:val="00E90F34"/>
    <w:rsid w:val="00E91B7E"/>
    <w:rsid w:val="00E931D9"/>
    <w:rsid w:val="00E93A45"/>
    <w:rsid w:val="00E943B4"/>
    <w:rsid w:val="00E95B58"/>
    <w:rsid w:val="00E965C6"/>
    <w:rsid w:val="00E9723A"/>
    <w:rsid w:val="00E97415"/>
    <w:rsid w:val="00E97534"/>
    <w:rsid w:val="00E97CF8"/>
    <w:rsid w:val="00EA0C71"/>
    <w:rsid w:val="00EA3482"/>
    <w:rsid w:val="00EA4CA3"/>
    <w:rsid w:val="00EA5922"/>
    <w:rsid w:val="00EA5E52"/>
    <w:rsid w:val="00EA72A1"/>
    <w:rsid w:val="00EA7905"/>
    <w:rsid w:val="00EB0C81"/>
    <w:rsid w:val="00EB23FA"/>
    <w:rsid w:val="00EB29F7"/>
    <w:rsid w:val="00EB383D"/>
    <w:rsid w:val="00EB419C"/>
    <w:rsid w:val="00EB4245"/>
    <w:rsid w:val="00EB5F88"/>
    <w:rsid w:val="00EB7E4D"/>
    <w:rsid w:val="00EC0E37"/>
    <w:rsid w:val="00EC19E7"/>
    <w:rsid w:val="00EC2F28"/>
    <w:rsid w:val="00EC3233"/>
    <w:rsid w:val="00EC3429"/>
    <w:rsid w:val="00EC41CC"/>
    <w:rsid w:val="00EC44E5"/>
    <w:rsid w:val="00EC5AE1"/>
    <w:rsid w:val="00EC7D2C"/>
    <w:rsid w:val="00ED02FF"/>
    <w:rsid w:val="00ED1701"/>
    <w:rsid w:val="00ED1E66"/>
    <w:rsid w:val="00ED286C"/>
    <w:rsid w:val="00ED2991"/>
    <w:rsid w:val="00ED2F40"/>
    <w:rsid w:val="00ED4113"/>
    <w:rsid w:val="00ED4426"/>
    <w:rsid w:val="00ED46DC"/>
    <w:rsid w:val="00ED493A"/>
    <w:rsid w:val="00ED4D48"/>
    <w:rsid w:val="00ED6729"/>
    <w:rsid w:val="00ED7086"/>
    <w:rsid w:val="00EE0EBD"/>
    <w:rsid w:val="00EE1007"/>
    <w:rsid w:val="00EE28E2"/>
    <w:rsid w:val="00EE3FF2"/>
    <w:rsid w:val="00EE45F5"/>
    <w:rsid w:val="00EE51D8"/>
    <w:rsid w:val="00EE57CE"/>
    <w:rsid w:val="00EE5803"/>
    <w:rsid w:val="00EF0A4B"/>
    <w:rsid w:val="00EF1C51"/>
    <w:rsid w:val="00EF440A"/>
    <w:rsid w:val="00EF4C9C"/>
    <w:rsid w:val="00EF5821"/>
    <w:rsid w:val="00EF7CE8"/>
    <w:rsid w:val="00F009AC"/>
    <w:rsid w:val="00F00CAB"/>
    <w:rsid w:val="00F010E8"/>
    <w:rsid w:val="00F01136"/>
    <w:rsid w:val="00F0153A"/>
    <w:rsid w:val="00F01951"/>
    <w:rsid w:val="00F054AA"/>
    <w:rsid w:val="00F06304"/>
    <w:rsid w:val="00F06942"/>
    <w:rsid w:val="00F06EC8"/>
    <w:rsid w:val="00F07BE0"/>
    <w:rsid w:val="00F07EA4"/>
    <w:rsid w:val="00F106B5"/>
    <w:rsid w:val="00F11E0A"/>
    <w:rsid w:val="00F12222"/>
    <w:rsid w:val="00F151E3"/>
    <w:rsid w:val="00F160E1"/>
    <w:rsid w:val="00F16670"/>
    <w:rsid w:val="00F17C50"/>
    <w:rsid w:val="00F204C3"/>
    <w:rsid w:val="00F20EE2"/>
    <w:rsid w:val="00F2118E"/>
    <w:rsid w:val="00F22571"/>
    <w:rsid w:val="00F237B1"/>
    <w:rsid w:val="00F24DB8"/>
    <w:rsid w:val="00F27A7B"/>
    <w:rsid w:val="00F27CEB"/>
    <w:rsid w:val="00F27D2F"/>
    <w:rsid w:val="00F306BF"/>
    <w:rsid w:val="00F3102B"/>
    <w:rsid w:val="00F310B7"/>
    <w:rsid w:val="00F3471E"/>
    <w:rsid w:val="00F34C3C"/>
    <w:rsid w:val="00F35853"/>
    <w:rsid w:val="00F364E8"/>
    <w:rsid w:val="00F36CEF"/>
    <w:rsid w:val="00F40780"/>
    <w:rsid w:val="00F40DE6"/>
    <w:rsid w:val="00F42CC2"/>
    <w:rsid w:val="00F43C84"/>
    <w:rsid w:val="00F43E5D"/>
    <w:rsid w:val="00F43F5F"/>
    <w:rsid w:val="00F4430C"/>
    <w:rsid w:val="00F4509D"/>
    <w:rsid w:val="00F45CC3"/>
    <w:rsid w:val="00F477F5"/>
    <w:rsid w:val="00F50213"/>
    <w:rsid w:val="00F51505"/>
    <w:rsid w:val="00F534B4"/>
    <w:rsid w:val="00F53673"/>
    <w:rsid w:val="00F56A7C"/>
    <w:rsid w:val="00F56A98"/>
    <w:rsid w:val="00F576B6"/>
    <w:rsid w:val="00F57ECB"/>
    <w:rsid w:val="00F57F6A"/>
    <w:rsid w:val="00F60716"/>
    <w:rsid w:val="00F61DDD"/>
    <w:rsid w:val="00F63B65"/>
    <w:rsid w:val="00F647D7"/>
    <w:rsid w:val="00F651BA"/>
    <w:rsid w:val="00F652CB"/>
    <w:rsid w:val="00F6540C"/>
    <w:rsid w:val="00F65BEA"/>
    <w:rsid w:val="00F72A06"/>
    <w:rsid w:val="00F74566"/>
    <w:rsid w:val="00F750FB"/>
    <w:rsid w:val="00F75160"/>
    <w:rsid w:val="00F7678B"/>
    <w:rsid w:val="00F77264"/>
    <w:rsid w:val="00F77406"/>
    <w:rsid w:val="00F819A5"/>
    <w:rsid w:val="00F82291"/>
    <w:rsid w:val="00F8273F"/>
    <w:rsid w:val="00F82878"/>
    <w:rsid w:val="00F83738"/>
    <w:rsid w:val="00F83C26"/>
    <w:rsid w:val="00F85037"/>
    <w:rsid w:val="00F85321"/>
    <w:rsid w:val="00F8614E"/>
    <w:rsid w:val="00F8693D"/>
    <w:rsid w:val="00F87A0A"/>
    <w:rsid w:val="00F87EDD"/>
    <w:rsid w:val="00F904B6"/>
    <w:rsid w:val="00F930B1"/>
    <w:rsid w:val="00F93666"/>
    <w:rsid w:val="00F94957"/>
    <w:rsid w:val="00F960F7"/>
    <w:rsid w:val="00F96EC7"/>
    <w:rsid w:val="00F97989"/>
    <w:rsid w:val="00FA4A13"/>
    <w:rsid w:val="00FA5146"/>
    <w:rsid w:val="00FA5349"/>
    <w:rsid w:val="00FA70E3"/>
    <w:rsid w:val="00FA795D"/>
    <w:rsid w:val="00FB0018"/>
    <w:rsid w:val="00FB15BF"/>
    <w:rsid w:val="00FB3058"/>
    <w:rsid w:val="00FB41A1"/>
    <w:rsid w:val="00FB4C0D"/>
    <w:rsid w:val="00FB6363"/>
    <w:rsid w:val="00FB76FC"/>
    <w:rsid w:val="00FB7923"/>
    <w:rsid w:val="00FB7D17"/>
    <w:rsid w:val="00FC0369"/>
    <w:rsid w:val="00FC0698"/>
    <w:rsid w:val="00FC0812"/>
    <w:rsid w:val="00FC2B88"/>
    <w:rsid w:val="00FC35F5"/>
    <w:rsid w:val="00FC3EB5"/>
    <w:rsid w:val="00FC4264"/>
    <w:rsid w:val="00FC70FE"/>
    <w:rsid w:val="00FC769D"/>
    <w:rsid w:val="00FC7C43"/>
    <w:rsid w:val="00FD3170"/>
    <w:rsid w:val="00FD391D"/>
    <w:rsid w:val="00FD3D9E"/>
    <w:rsid w:val="00FD4930"/>
    <w:rsid w:val="00FD4C27"/>
    <w:rsid w:val="00FD6AC0"/>
    <w:rsid w:val="00FE0994"/>
    <w:rsid w:val="00FE10B7"/>
    <w:rsid w:val="00FE13D8"/>
    <w:rsid w:val="00FE1A13"/>
    <w:rsid w:val="00FE36F5"/>
    <w:rsid w:val="00FE42E8"/>
    <w:rsid w:val="00FE5213"/>
    <w:rsid w:val="00FE5962"/>
    <w:rsid w:val="00FF0BC9"/>
    <w:rsid w:val="00FF1664"/>
    <w:rsid w:val="00FF2B76"/>
    <w:rsid w:val="00FF50A3"/>
    <w:rsid w:val="00FF5892"/>
    <w:rsid w:val="00FF7C0A"/>
    <w:rsid w:val="01B84517"/>
    <w:rsid w:val="132D4D4B"/>
    <w:rsid w:val="13735D5B"/>
    <w:rsid w:val="13C42367"/>
    <w:rsid w:val="1D6A2C4E"/>
    <w:rsid w:val="1E7045C3"/>
    <w:rsid w:val="251406E0"/>
    <w:rsid w:val="2F6D385E"/>
    <w:rsid w:val="379963C7"/>
    <w:rsid w:val="3B5A471F"/>
    <w:rsid w:val="3BB75E87"/>
    <w:rsid w:val="3D8E5DB9"/>
    <w:rsid w:val="3DBF29D9"/>
    <w:rsid w:val="495B1666"/>
    <w:rsid w:val="4CA14CC6"/>
    <w:rsid w:val="51D927FF"/>
    <w:rsid w:val="534357AA"/>
    <w:rsid w:val="57A8345F"/>
    <w:rsid w:val="587201FD"/>
    <w:rsid w:val="5B9F77DD"/>
    <w:rsid w:val="5D3A4FFF"/>
    <w:rsid w:val="63C948C4"/>
    <w:rsid w:val="65900106"/>
    <w:rsid w:val="664B4963"/>
    <w:rsid w:val="690412D8"/>
    <w:rsid w:val="6C9B45EE"/>
    <w:rsid w:val="75703838"/>
    <w:rsid w:val="7935390D"/>
    <w:rsid w:val="7DD035F6"/>
    <w:rsid w:val="7FD75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81"/>
    <w:qFormat/>
    <w:uiPriority w:val="0"/>
    <w:pPr>
      <w:keepNext/>
      <w:keepLines/>
      <w:numPr>
        <w:ilvl w:val="0"/>
        <w:numId w:val="1"/>
      </w:numPr>
      <w:spacing w:before="340" w:after="330" w:line="578" w:lineRule="atLeast"/>
      <w:outlineLvl w:val="0"/>
    </w:pPr>
    <w:rPr>
      <w:b/>
      <w:bCs/>
      <w:kern w:val="44"/>
      <w:sz w:val="44"/>
      <w:szCs w:val="44"/>
    </w:rPr>
  </w:style>
  <w:style w:type="paragraph" w:styleId="3">
    <w:name w:val="heading 2"/>
    <w:basedOn w:val="1"/>
    <w:next w:val="1"/>
    <w:link w:val="182"/>
    <w:qFormat/>
    <w:uiPriority w:val="0"/>
    <w:pPr>
      <w:keepNext/>
      <w:keepLines/>
      <w:numPr>
        <w:ilvl w:val="1"/>
        <w:numId w:val="1"/>
      </w:numPr>
      <w:spacing w:before="260" w:after="260" w:line="416" w:lineRule="atLeast"/>
      <w:outlineLvl w:val="1"/>
    </w:pPr>
    <w:rPr>
      <w:rFonts w:ascii="Arial" w:hAnsi="Arial" w:eastAsia="黑体"/>
      <w:b/>
      <w:bCs/>
      <w:sz w:val="32"/>
      <w:szCs w:val="32"/>
    </w:rPr>
  </w:style>
  <w:style w:type="paragraph" w:styleId="4">
    <w:name w:val="heading 3"/>
    <w:basedOn w:val="1"/>
    <w:next w:val="1"/>
    <w:link w:val="183"/>
    <w:qFormat/>
    <w:uiPriority w:val="0"/>
    <w:pPr>
      <w:keepNext/>
      <w:keepLines/>
      <w:numPr>
        <w:ilvl w:val="2"/>
        <w:numId w:val="1"/>
      </w:numPr>
      <w:spacing w:before="260" w:after="260" w:line="416" w:lineRule="atLeast"/>
      <w:outlineLvl w:val="2"/>
    </w:pPr>
    <w:rPr>
      <w:b/>
      <w:bCs/>
      <w:sz w:val="32"/>
      <w:szCs w:val="32"/>
    </w:rPr>
  </w:style>
  <w:style w:type="paragraph" w:styleId="5">
    <w:name w:val="heading 4"/>
    <w:basedOn w:val="1"/>
    <w:next w:val="1"/>
    <w:link w:val="184"/>
    <w:qFormat/>
    <w:uiPriority w:val="0"/>
    <w:pPr>
      <w:keepNext/>
      <w:keepLines/>
      <w:numPr>
        <w:ilvl w:val="3"/>
        <w:numId w:val="1"/>
      </w:numPr>
      <w:spacing w:before="280" w:after="290" w:line="376" w:lineRule="atLeast"/>
      <w:outlineLvl w:val="3"/>
    </w:pPr>
    <w:rPr>
      <w:rFonts w:ascii="Arial" w:hAnsi="Arial" w:eastAsia="黑体"/>
      <w:b/>
      <w:bCs/>
      <w:sz w:val="28"/>
      <w:szCs w:val="28"/>
    </w:rPr>
  </w:style>
  <w:style w:type="paragraph" w:styleId="6">
    <w:name w:val="heading 5"/>
    <w:basedOn w:val="1"/>
    <w:next w:val="1"/>
    <w:link w:val="185"/>
    <w:qFormat/>
    <w:uiPriority w:val="0"/>
    <w:pPr>
      <w:keepNext/>
      <w:keepLines/>
      <w:spacing w:before="280" w:after="290" w:line="376" w:lineRule="atLeast"/>
      <w:outlineLvl w:val="4"/>
    </w:pPr>
    <w:rPr>
      <w:b/>
      <w:bCs/>
      <w:sz w:val="28"/>
      <w:szCs w:val="28"/>
    </w:rPr>
  </w:style>
  <w:style w:type="paragraph" w:styleId="7">
    <w:name w:val="heading 6"/>
    <w:basedOn w:val="1"/>
    <w:next w:val="1"/>
    <w:link w:val="186"/>
    <w:qFormat/>
    <w:uiPriority w:val="0"/>
    <w:pPr>
      <w:keepNext/>
      <w:keepLines/>
      <w:numPr>
        <w:ilvl w:val="5"/>
        <w:numId w:val="1"/>
      </w:numPr>
      <w:spacing w:before="240" w:after="64" w:line="320" w:lineRule="atLeast"/>
      <w:outlineLvl w:val="5"/>
    </w:pPr>
    <w:rPr>
      <w:rFonts w:ascii="Arial" w:hAnsi="Arial" w:eastAsia="黑体"/>
      <w:b/>
      <w:bCs/>
      <w:szCs w:val="24"/>
    </w:rPr>
  </w:style>
  <w:style w:type="paragraph" w:styleId="8">
    <w:name w:val="heading 7"/>
    <w:basedOn w:val="1"/>
    <w:next w:val="1"/>
    <w:link w:val="187"/>
    <w:qFormat/>
    <w:uiPriority w:val="0"/>
    <w:pPr>
      <w:keepNext/>
      <w:keepLines/>
      <w:numPr>
        <w:ilvl w:val="6"/>
        <w:numId w:val="1"/>
      </w:numPr>
      <w:spacing w:before="240" w:after="64" w:line="320" w:lineRule="atLeast"/>
      <w:outlineLvl w:val="6"/>
    </w:pPr>
    <w:rPr>
      <w:b/>
      <w:bCs/>
      <w:szCs w:val="24"/>
    </w:rPr>
  </w:style>
  <w:style w:type="paragraph" w:styleId="9">
    <w:name w:val="heading 8"/>
    <w:basedOn w:val="1"/>
    <w:next w:val="1"/>
    <w:link w:val="188"/>
    <w:qFormat/>
    <w:uiPriority w:val="0"/>
    <w:pPr>
      <w:keepNext/>
      <w:keepLines/>
      <w:numPr>
        <w:ilvl w:val="7"/>
        <w:numId w:val="1"/>
      </w:numPr>
      <w:spacing w:before="240" w:after="64" w:line="320" w:lineRule="atLeast"/>
      <w:outlineLvl w:val="7"/>
    </w:pPr>
    <w:rPr>
      <w:rFonts w:ascii="Arial" w:hAnsi="Arial" w:eastAsia="黑体"/>
      <w:szCs w:val="24"/>
    </w:rPr>
  </w:style>
  <w:style w:type="paragraph" w:styleId="10">
    <w:name w:val="heading 9"/>
    <w:basedOn w:val="1"/>
    <w:next w:val="1"/>
    <w:link w:val="189"/>
    <w:qFormat/>
    <w:uiPriority w:val="0"/>
    <w:pPr>
      <w:keepNext/>
      <w:keepLines/>
      <w:numPr>
        <w:ilvl w:val="8"/>
        <w:numId w:val="1"/>
      </w:numPr>
      <w:spacing w:before="240" w:after="64" w:line="320" w:lineRule="atLeast"/>
      <w:outlineLvl w:val="8"/>
    </w:pPr>
    <w:rPr>
      <w:rFonts w:ascii="Arial" w:hAnsi="Arial" w:eastAsia="黑体"/>
      <w:sz w:val="21"/>
      <w:szCs w:val="21"/>
    </w:rPr>
  </w:style>
  <w:style w:type="character" w:default="1" w:styleId="41">
    <w:name w:val="Default Paragraph Font"/>
    <w:semiHidden/>
    <w:unhideWhenUsed/>
    <w:qFormat/>
    <w:uiPriority w:val="1"/>
  </w:style>
  <w:style w:type="table" w:default="1" w:styleId="47">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spacing w:line="360" w:lineRule="auto"/>
      <w:jc w:val="both"/>
    </w:pPr>
  </w:style>
  <w:style w:type="paragraph" w:styleId="12">
    <w:name w:val="annotation subject"/>
    <w:basedOn w:val="13"/>
    <w:next w:val="13"/>
    <w:link w:val="200"/>
    <w:qFormat/>
    <w:uiPriority w:val="0"/>
    <w:rPr>
      <w:b/>
      <w:bCs/>
    </w:rPr>
  </w:style>
  <w:style w:type="paragraph" w:styleId="13">
    <w:name w:val="annotation text"/>
    <w:basedOn w:val="1"/>
    <w:link w:val="199"/>
    <w:qFormat/>
    <w:uiPriority w:val="0"/>
  </w:style>
  <w:style w:type="paragraph" w:styleId="14">
    <w:name w:val="toc 7"/>
    <w:basedOn w:val="1"/>
    <w:next w:val="1"/>
    <w:qFormat/>
    <w:uiPriority w:val="0"/>
    <w:pPr>
      <w:ind w:left="2520" w:leftChars="1200"/>
    </w:pPr>
  </w:style>
  <w:style w:type="paragraph" w:styleId="15">
    <w:name w:val="Body Text First Indent"/>
    <w:basedOn w:val="16"/>
    <w:link w:val="205"/>
    <w:qFormat/>
    <w:uiPriority w:val="0"/>
    <w:pPr>
      <w:adjustRightInd/>
      <w:spacing w:line="240" w:lineRule="auto"/>
      <w:ind w:firstLine="420"/>
      <w:jc w:val="both"/>
      <w:textAlignment w:val="auto"/>
    </w:pPr>
    <w:rPr>
      <w:kern w:val="2"/>
      <w:sz w:val="21"/>
    </w:rPr>
  </w:style>
  <w:style w:type="paragraph" w:styleId="16">
    <w:name w:val="Body Text"/>
    <w:basedOn w:val="1"/>
    <w:link w:val="194"/>
    <w:qFormat/>
    <w:uiPriority w:val="0"/>
    <w:pPr>
      <w:spacing w:after="120"/>
    </w:pPr>
  </w:style>
  <w:style w:type="paragraph" w:styleId="17">
    <w:name w:val="Note Heading"/>
    <w:basedOn w:val="1"/>
    <w:next w:val="1"/>
    <w:link w:val="203"/>
    <w:qFormat/>
    <w:uiPriority w:val="0"/>
    <w:pPr>
      <w:jc w:val="center"/>
    </w:pPr>
  </w:style>
  <w:style w:type="paragraph" w:styleId="18">
    <w:name w:val="Normal Indent"/>
    <w:basedOn w:val="1"/>
    <w:qFormat/>
    <w:uiPriority w:val="0"/>
    <w:pPr>
      <w:ind w:firstLine="420" w:firstLineChars="200"/>
    </w:pPr>
  </w:style>
  <w:style w:type="paragraph" w:styleId="19">
    <w:name w:val="Document Map"/>
    <w:basedOn w:val="1"/>
    <w:link w:val="207"/>
    <w:uiPriority w:val="0"/>
    <w:pPr>
      <w:shd w:val="clear" w:color="auto" w:fill="000080"/>
    </w:pPr>
  </w:style>
  <w:style w:type="paragraph" w:styleId="20">
    <w:name w:val="Body Text 3"/>
    <w:basedOn w:val="1"/>
    <w:link w:val="209"/>
    <w:uiPriority w:val="0"/>
    <w:pPr>
      <w:spacing w:after="120"/>
    </w:pPr>
    <w:rPr>
      <w:sz w:val="16"/>
      <w:szCs w:val="16"/>
    </w:rPr>
  </w:style>
  <w:style w:type="paragraph" w:styleId="21">
    <w:name w:val="Body Text Indent"/>
    <w:basedOn w:val="1"/>
    <w:link w:val="198"/>
    <w:qFormat/>
    <w:uiPriority w:val="0"/>
    <w:pPr>
      <w:spacing w:after="120"/>
      <w:ind w:left="420" w:leftChars="200"/>
    </w:pPr>
  </w:style>
  <w:style w:type="paragraph" w:styleId="22">
    <w:name w:val="toc 5"/>
    <w:basedOn w:val="1"/>
    <w:next w:val="1"/>
    <w:qFormat/>
    <w:uiPriority w:val="0"/>
    <w:pPr>
      <w:ind w:left="1680" w:leftChars="800"/>
    </w:pPr>
  </w:style>
  <w:style w:type="paragraph" w:styleId="23">
    <w:name w:val="toc 3"/>
    <w:basedOn w:val="1"/>
    <w:next w:val="1"/>
    <w:qFormat/>
    <w:uiPriority w:val="0"/>
    <w:pPr>
      <w:ind w:left="840" w:leftChars="400"/>
    </w:pPr>
  </w:style>
  <w:style w:type="paragraph" w:styleId="24">
    <w:name w:val="Plain Text"/>
    <w:basedOn w:val="1"/>
    <w:link w:val="52"/>
    <w:uiPriority w:val="0"/>
    <w:pPr>
      <w:adjustRightInd/>
      <w:spacing w:line="240" w:lineRule="auto"/>
      <w:jc w:val="both"/>
      <w:textAlignment w:val="auto"/>
    </w:pPr>
    <w:rPr>
      <w:rFonts w:ascii="宋体" w:hAnsi="Courier New"/>
      <w:kern w:val="2"/>
      <w:sz w:val="21"/>
      <w:szCs w:val="21"/>
    </w:rPr>
  </w:style>
  <w:style w:type="paragraph" w:styleId="25">
    <w:name w:val="toc 8"/>
    <w:basedOn w:val="1"/>
    <w:next w:val="1"/>
    <w:qFormat/>
    <w:uiPriority w:val="0"/>
    <w:pPr>
      <w:ind w:left="2940" w:leftChars="1400"/>
    </w:pPr>
  </w:style>
  <w:style w:type="paragraph" w:styleId="26">
    <w:name w:val="Date"/>
    <w:basedOn w:val="1"/>
    <w:next w:val="1"/>
    <w:link w:val="206"/>
    <w:qFormat/>
    <w:uiPriority w:val="0"/>
    <w:pPr>
      <w:ind w:left="100" w:leftChars="2500"/>
    </w:pPr>
  </w:style>
  <w:style w:type="paragraph" w:styleId="27">
    <w:name w:val="Body Text Indent 2"/>
    <w:basedOn w:val="1"/>
    <w:link w:val="196"/>
    <w:qFormat/>
    <w:uiPriority w:val="0"/>
    <w:pPr>
      <w:spacing w:after="120" w:line="480" w:lineRule="auto"/>
      <w:ind w:left="420" w:leftChars="200"/>
    </w:pPr>
  </w:style>
  <w:style w:type="paragraph" w:styleId="28">
    <w:name w:val="endnote text"/>
    <w:basedOn w:val="1"/>
    <w:link w:val="220"/>
    <w:qFormat/>
    <w:uiPriority w:val="0"/>
    <w:pPr>
      <w:snapToGrid w:val="0"/>
    </w:pPr>
  </w:style>
  <w:style w:type="paragraph" w:styleId="29">
    <w:name w:val="Balloon Text"/>
    <w:basedOn w:val="1"/>
    <w:link w:val="208"/>
    <w:uiPriority w:val="0"/>
    <w:rPr>
      <w:sz w:val="18"/>
      <w:szCs w:val="18"/>
    </w:rPr>
  </w:style>
  <w:style w:type="paragraph" w:styleId="30">
    <w:name w:val="footer"/>
    <w:basedOn w:val="1"/>
    <w:link w:val="50"/>
    <w:qFormat/>
    <w:uiPriority w:val="0"/>
    <w:pPr>
      <w:tabs>
        <w:tab w:val="center" w:pos="4153"/>
        <w:tab w:val="right" w:pos="8306"/>
      </w:tabs>
      <w:spacing w:line="240" w:lineRule="atLeast"/>
    </w:pPr>
    <w:rPr>
      <w:sz w:val="18"/>
    </w:rPr>
  </w:style>
  <w:style w:type="paragraph" w:styleId="31">
    <w:name w:val="header"/>
    <w:basedOn w:val="1"/>
    <w:link w:val="180"/>
    <w:uiPriority w:val="0"/>
    <w:pPr>
      <w:pBdr>
        <w:bottom w:val="single" w:color="auto" w:sz="6" w:space="1"/>
      </w:pBdr>
      <w:tabs>
        <w:tab w:val="center" w:pos="4153"/>
        <w:tab w:val="right" w:pos="8306"/>
      </w:tabs>
      <w:spacing w:line="240" w:lineRule="atLeast"/>
      <w:jc w:val="center"/>
    </w:pPr>
    <w:rPr>
      <w:sz w:val="18"/>
    </w:rPr>
  </w:style>
  <w:style w:type="paragraph" w:styleId="32">
    <w:name w:val="toc 1"/>
    <w:basedOn w:val="1"/>
    <w:next w:val="1"/>
    <w:qFormat/>
    <w:uiPriority w:val="39"/>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201"/>
    <w:qFormat/>
    <w:uiPriority w:val="0"/>
    <w:pPr>
      <w:spacing w:after="120"/>
      <w:ind w:left="420" w:leftChars="200"/>
    </w:pPr>
    <w:rPr>
      <w:sz w:val="16"/>
      <w:szCs w:val="16"/>
    </w:rPr>
  </w:style>
  <w:style w:type="paragraph" w:styleId="36">
    <w:name w:val="toc 2"/>
    <w:basedOn w:val="1"/>
    <w:next w:val="1"/>
    <w:qFormat/>
    <w:uiPriority w:val="0"/>
    <w:pPr>
      <w:tabs>
        <w:tab w:val="right" w:leader="dot" w:pos="8778"/>
      </w:tabs>
      <w:ind w:left="959" w:leftChars="200" w:hanging="479" w:hangingChars="228"/>
    </w:pPr>
    <w:rPr>
      <w:rFonts w:ascii="宋体" w:hAnsi="宋体"/>
      <w:kern w:val="2"/>
      <w:sz w:val="21"/>
      <w:szCs w:val="21"/>
    </w:rPr>
  </w:style>
  <w:style w:type="paragraph" w:styleId="37">
    <w:name w:val="toc 9"/>
    <w:basedOn w:val="1"/>
    <w:next w:val="1"/>
    <w:uiPriority w:val="0"/>
    <w:pPr>
      <w:ind w:left="3360" w:leftChars="1600"/>
    </w:pPr>
  </w:style>
  <w:style w:type="paragraph" w:styleId="38">
    <w:name w:val="Body Text 2"/>
    <w:basedOn w:val="1"/>
    <w:link w:val="197"/>
    <w:qFormat/>
    <w:uiPriority w:val="0"/>
    <w:pPr>
      <w:spacing w:after="120" w:line="480" w:lineRule="auto"/>
    </w:pPr>
  </w:style>
  <w:style w:type="paragraph" w:styleId="39">
    <w:name w:val="Normal (Web)"/>
    <w:basedOn w:val="1"/>
    <w:qFormat/>
    <w:uiPriority w:val="0"/>
    <w:pPr>
      <w:widowControl/>
      <w:adjustRightInd/>
      <w:spacing w:before="100" w:beforeAutospacing="1" w:after="100" w:afterAutospacing="1" w:line="240" w:lineRule="auto"/>
      <w:textAlignment w:val="auto"/>
    </w:pPr>
    <w:rPr>
      <w:rFonts w:ascii="宋体" w:hAnsi="宋体" w:cs="宋体"/>
      <w:szCs w:val="24"/>
    </w:rPr>
  </w:style>
  <w:style w:type="paragraph" w:styleId="40">
    <w:name w:val="Title"/>
    <w:basedOn w:val="1"/>
    <w:link w:val="202"/>
    <w:qFormat/>
    <w:uiPriority w:val="0"/>
    <w:pPr>
      <w:adjustRightInd/>
      <w:spacing w:line="360" w:lineRule="auto"/>
      <w:textAlignment w:val="center"/>
      <w:outlineLvl w:val="0"/>
    </w:pPr>
    <w:rPr>
      <w:b/>
      <w:bCs/>
      <w:kern w:val="2"/>
      <w:sz w:val="28"/>
      <w:szCs w:val="32"/>
    </w:rPr>
  </w:style>
  <w:style w:type="character" w:styleId="42">
    <w:name w:val="endnote reference"/>
    <w:qFormat/>
    <w:uiPriority w:val="0"/>
    <w:rPr>
      <w:vertAlign w:val="superscript"/>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Hyperlink"/>
    <w:qFormat/>
    <w:uiPriority w:val="99"/>
    <w:rPr>
      <w:color w:val="0000FF"/>
      <w:u w:val="single"/>
    </w:rPr>
  </w:style>
  <w:style w:type="character" w:styleId="46">
    <w:name w:val="annotation reference"/>
    <w:qFormat/>
    <w:uiPriority w:val="0"/>
    <w:rPr>
      <w:sz w:val="21"/>
      <w:szCs w:val="21"/>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9">
    <w:name w:val="纯文本 Char"/>
    <w:qFormat/>
    <w:uiPriority w:val="0"/>
    <w:rPr>
      <w:rFonts w:ascii="宋体" w:hAnsi="Courier New" w:eastAsia="宋体"/>
      <w:kern w:val="2"/>
      <w:sz w:val="21"/>
      <w:szCs w:val="21"/>
      <w:lang w:val="en-US" w:eastAsia="zh-CN" w:bidi="ar-SA"/>
    </w:rPr>
  </w:style>
  <w:style w:type="character" w:customStyle="1" w:styleId="50">
    <w:name w:val="页脚 Char"/>
    <w:link w:val="30"/>
    <w:qFormat/>
    <w:uiPriority w:val="0"/>
    <w:rPr>
      <w:sz w:val="18"/>
    </w:rPr>
  </w:style>
  <w:style w:type="character" w:customStyle="1" w:styleId="51">
    <w:name w:val="lineitems1"/>
    <w:qFormat/>
    <w:uiPriority w:val="0"/>
    <w:rPr>
      <w:sz w:val="17"/>
      <w:szCs w:val="17"/>
    </w:rPr>
  </w:style>
  <w:style w:type="character" w:customStyle="1" w:styleId="52">
    <w:name w:val="纯文本 Char1"/>
    <w:link w:val="24"/>
    <w:qFormat/>
    <w:uiPriority w:val="0"/>
    <w:rPr>
      <w:rFonts w:ascii="宋体" w:hAnsi="Courier New" w:eastAsia="宋体"/>
      <w:kern w:val="2"/>
      <w:sz w:val="21"/>
      <w:szCs w:val="21"/>
      <w:lang w:val="en-US" w:eastAsia="zh-CN" w:bidi="ar-SA"/>
    </w:rPr>
  </w:style>
  <w:style w:type="character" w:customStyle="1" w:styleId="53">
    <w:name w:val="Char Char2"/>
    <w:qFormat/>
    <w:uiPriority w:val="0"/>
    <w:rPr>
      <w:rFonts w:ascii="宋体" w:hAnsi="Courier New" w:eastAsia="宋体"/>
      <w:kern w:val="2"/>
      <w:sz w:val="21"/>
      <w:lang w:val="en-US" w:eastAsia="zh-CN" w:bidi="ar-SA"/>
    </w:rPr>
  </w:style>
  <w:style w:type="character" w:customStyle="1" w:styleId="54">
    <w:name w:val="正文说明文字 Char1"/>
    <w:link w:val="55"/>
    <w:qFormat/>
    <w:uiPriority w:val="0"/>
    <w:rPr>
      <w:rFonts w:eastAsia="宋体"/>
      <w:bCs/>
      <w:color w:val="000000"/>
      <w:kern w:val="44"/>
      <w:sz w:val="21"/>
      <w:szCs w:val="24"/>
      <w:lang w:val="en-US" w:eastAsia="zh-CN" w:bidi="ar-SA"/>
    </w:rPr>
  </w:style>
  <w:style w:type="paragraph" w:customStyle="1" w:styleId="55">
    <w:name w:val="正文说明文字"/>
    <w:basedOn w:val="18"/>
    <w:link w:val="54"/>
    <w:qFormat/>
    <w:uiPriority w:val="0"/>
    <w:pPr>
      <w:tabs>
        <w:tab w:val="left" w:pos="210"/>
      </w:tabs>
      <w:spacing w:line="360" w:lineRule="auto"/>
      <w:ind w:firstLine="200"/>
      <w:jc w:val="both"/>
      <w:textAlignment w:val="auto"/>
    </w:pPr>
    <w:rPr>
      <w:bCs/>
      <w:color w:val="000000"/>
      <w:kern w:val="44"/>
      <w:sz w:val="21"/>
      <w:szCs w:val="24"/>
    </w:rPr>
  </w:style>
  <w:style w:type="character" w:customStyle="1" w:styleId="56">
    <w:name w:val="标题 3 Char Char"/>
    <w:qFormat/>
    <w:uiPriority w:val="0"/>
    <w:rPr>
      <w:rFonts w:eastAsia="黑体"/>
      <w:b/>
      <w:bCs/>
      <w:kern w:val="2"/>
      <w:sz w:val="30"/>
      <w:szCs w:val="32"/>
      <w:lang w:val="en-US" w:eastAsia="zh-CN" w:bidi="ar-SA"/>
    </w:rPr>
  </w:style>
  <w:style w:type="character" w:customStyle="1" w:styleId="57">
    <w:name w:val="标题 4 Char Char Char Char Char Char Char Char Char Char Char Char Char Char"/>
    <w:qFormat/>
    <w:uiPriority w:val="0"/>
    <w:rPr>
      <w:rFonts w:ascii="Arial" w:hAnsi="Arial" w:eastAsia="黑体"/>
      <w:bCs/>
      <w:kern w:val="2"/>
      <w:sz w:val="24"/>
      <w:szCs w:val="28"/>
      <w:lang w:val="en-US" w:eastAsia="zh-CN" w:bidi="ar-SA"/>
    </w:rPr>
  </w:style>
  <w:style w:type="character" w:customStyle="1" w:styleId="58">
    <w:name w:val="样式1 Char"/>
    <w:qFormat/>
    <w:uiPriority w:val="0"/>
    <w:rPr>
      <w:rFonts w:ascii="宋体" w:hAnsi="宋体" w:eastAsia="宋体"/>
      <w:sz w:val="21"/>
      <w:szCs w:val="21"/>
      <w:lang w:val="en-US" w:eastAsia="zh-CN" w:bidi="ar-SA"/>
    </w:rPr>
  </w:style>
  <w:style w:type="character" w:customStyle="1" w:styleId="59">
    <w:name w:val="正文字缩2字 Char"/>
    <w:link w:val="60"/>
    <w:qFormat/>
    <w:uiPriority w:val="0"/>
    <w:rPr>
      <w:rFonts w:eastAsia="宋体"/>
      <w:kern w:val="2"/>
      <w:sz w:val="24"/>
      <w:szCs w:val="24"/>
      <w:lang w:val="en-US" w:eastAsia="zh-CN" w:bidi="ar-SA"/>
    </w:rPr>
  </w:style>
  <w:style w:type="paragraph" w:customStyle="1" w:styleId="60">
    <w:name w:val="正文字缩2字"/>
    <w:basedOn w:val="1"/>
    <w:link w:val="59"/>
    <w:qFormat/>
    <w:uiPriority w:val="0"/>
    <w:pPr>
      <w:adjustRightInd/>
      <w:spacing w:before="60" w:after="60" w:line="360" w:lineRule="auto"/>
      <w:ind w:left="200" w:leftChars="200" w:firstLine="200" w:firstLineChars="200"/>
      <w:jc w:val="both"/>
      <w:textAlignment w:val="auto"/>
    </w:pPr>
    <w:rPr>
      <w:kern w:val="2"/>
      <w:szCs w:val="24"/>
    </w:rPr>
  </w:style>
  <w:style w:type="paragraph" w:customStyle="1" w:styleId="61">
    <w:name w:val="Char1"/>
    <w:basedOn w:val="1"/>
    <w:qFormat/>
    <w:uiPriority w:val="0"/>
    <w:pPr>
      <w:tabs>
        <w:tab w:val="left" w:pos="840"/>
      </w:tabs>
      <w:adjustRightInd/>
      <w:spacing w:line="240" w:lineRule="auto"/>
      <w:ind w:left="840" w:hanging="420"/>
      <w:jc w:val="both"/>
      <w:textAlignment w:val="auto"/>
    </w:pPr>
    <w:rPr>
      <w:kern w:val="2"/>
      <w:szCs w:val="24"/>
    </w:rPr>
  </w:style>
  <w:style w:type="paragraph" w:customStyle="1" w:styleId="62">
    <w:name w:val="正文3"/>
    <w:basedOn w:val="1"/>
    <w:qFormat/>
    <w:uiPriority w:val="0"/>
    <w:pPr>
      <w:adjustRightInd/>
      <w:spacing w:before="60" w:after="60" w:line="360" w:lineRule="auto"/>
      <w:jc w:val="both"/>
      <w:textAlignment w:val="auto"/>
      <w:outlineLvl w:val="8"/>
    </w:pPr>
    <w:rPr>
      <w:kern w:val="2"/>
      <w:szCs w:val="21"/>
    </w:rPr>
  </w:style>
  <w:style w:type="paragraph" w:customStyle="1" w:styleId="63">
    <w:name w:val="xl53"/>
    <w:basedOn w:val="1"/>
    <w:qFormat/>
    <w:uiPriority w:val="0"/>
    <w:pPr>
      <w:widowControl/>
      <w:pBdr>
        <w:top w:val="single" w:color="auto" w:sz="4" w:space="0"/>
        <w:left w:val="single" w:color="auto" w:sz="4" w:space="0"/>
        <w:bottom w:val="dashed" w:color="auto" w:sz="4" w:space="0"/>
        <w:right w:val="single" w:color="auto" w:sz="4" w:space="0"/>
      </w:pBdr>
      <w:adjustRightInd/>
      <w:spacing w:before="100" w:beforeAutospacing="1" w:after="100" w:afterAutospacing="1" w:line="240" w:lineRule="auto"/>
      <w:textAlignment w:val="auto"/>
    </w:pPr>
    <w:rPr>
      <w:rFonts w:ascii="宋体" w:hAnsi="宋体"/>
      <w:color w:val="000000"/>
      <w:sz w:val="20"/>
    </w:rPr>
  </w:style>
  <w:style w:type="paragraph" w:customStyle="1" w:styleId="64">
    <w:name w:val="列出段落1"/>
    <w:basedOn w:val="1"/>
    <w:qFormat/>
    <w:uiPriority w:val="0"/>
    <w:pPr>
      <w:adjustRightInd/>
      <w:spacing w:line="240" w:lineRule="auto"/>
      <w:ind w:firstLine="420" w:firstLineChars="200"/>
      <w:jc w:val="both"/>
      <w:textAlignment w:val="auto"/>
    </w:pPr>
    <w:rPr>
      <w:rFonts w:ascii="Calibri" w:hAnsi="Calibri"/>
      <w:kern w:val="2"/>
      <w:sz w:val="21"/>
      <w:szCs w:val="22"/>
    </w:rPr>
  </w:style>
  <w:style w:type="paragraph" w:customStyle="1" w:styleId="65">
    <w:name w:val="_Style 47"/>
    <w:basedOn w:val="1"/>
    <w:next w:val="1"/>
    <w:qFormat/>
    <w:uiPriority w:val="0"/>
  </w:style>
  <w:style w:type="paragraph" w:customStyle="1" w:styleId="66">
    <w:name w:val="PMletterTextBullet"/>
    <w:basedOn w:val="67"/>
    <w:qFormat/>
    <w:uiPriority w:val="0"/>
    <w:pPr>
      <w:numPr>
        <w:ilvl w:val="0"/>
        <w:numId w:val="2"/>
      </w:numPr>
      <w:tabs>
        <w:tab w:val="left" w:pos="1800"/>
        <w:tab w:val="clear" w:pos="735"/>
      </w:tabs>
      <w:ind w:left="1800"/>
    </w:pPr>
  </w:style>
  <w:style w:type="paragraph" w:customStyle="1" w:styleId="67">
    <w:name w:val="PMletterText"/>
    <w:basedOn w:val="68"/>
    <w:qFormat/>
    <w:uiPriority w:val="0"/>
    <w:pPr>
      <w:spacing w:before="240"/>
      <w:ind w:left="720"/>
    </w:pPr>
  </w:style>
  <w:style w:type="paragraph" w:customStyle="1" w:styleId="68">
    <w:name w:val="PMstyle"/>
    <w:qFormat/>
    <w:uiPriority w:val="0"/>
    <w:rPr>
      <w:rFonts w:ascii="Tahoma" w:hAnsi="Tahoma" w:eastAsia="宋体" w:cs="Times New Roman"/>
      <w:sz w:val="22"/>
      <w:lang w:val="en-US" w:eastAsia="zh-CN" w:bidi="ar-SA"/>
    </w:rPr>
  </w:style>
  <w:style w:type="paragraph" w:customStyle="1" w:styleId="69">
    <w:name w:val="xl35"/>
    <w:basedOn w:val="1"/>
    <w:qFormat/>
    <w:uiPriority w:val="0"/>
    <w:pPr>
      <w:widowControl/>
      <w:pBdr>
        <w:top w:val="dashed" w:color="auto" w:sz="4" w:space="0"/>
        <w:left w:val="single" w:color="auto" w:sz="4" w:space="0"/>
        <w:bottom w:val="dashed" w:color="auto" w:sz="4" w:space="0"/>
        <w:right w:val="single" w:color="auto" w:sz="4" w:space="0"/>
      </w:pBdr>
      <w:adjustRightInd/>
      <w:spacing w:before="100" w:beforeAutospacing="1" w:after="100" w:afterAutospacing="1" w:line="240" w:lineRule="auto"/>
      <w:textAlignment w:val="auto"/>
    </w:pPr>
    <w:rPr>
      <w:rFonts w:ascii="宋体" w:hAnsi="宋体"/>
      <w:color w:val="000000"/>
      <w:sz w:val="20"/>
    </w:rPr>
  </w:style>
  <w:style w:type="paragraph" w:customStyle="1" w:styleId="70">
    <w:name w:val="sunny no style"/>
    <w:qFormat/>
    <w:uiPriority w:val="0"/>
    <w:rPr>
      <w:rFonts w:ascii="Times New Roman" w:hAnsi="Times New Roman" w:eastAsia="宋体" w:cs="Times New Roman"/>
      <w:kern w:val="2"/>
      <w:sz w:val="21"/>
      <w:szCs w:val="21"/>
      <w:lang w:val="en-US" w:eastAsia="zh-CN" w:bidi="ar-SA"/>
    </w:rPr>
  </w:style>
  <w:style w:type="paragraph" w:customStyle="1" w:styleId="71">
    <w:name w:val="标书正文"/>
    <w:basedOn w:val="1"/>
    <w:qFormat/>
    <w:uiPriority w:val="0"/>
    <w:pPr>
      <w:snapToGrid w:val="0"/>
      <w:spacing w:line="300" w:lineRule="auto"/>
      <w:ind w:firstLine="420" w:firstLineChars="200"/>
      <w:jc w:val="both"/>
      <w:textAlignment w:val="auto"/>
    </w:pPr>
    <w:rPr>
      <w:rFonts w:ascii="宋体" w:hAnsi="宋体"/>
      <w:color w:val="000000"/>
      <w:sz w:val="21"/>
      <w:szCs w:val="21"/>
    </w:rPr>
  </w:style>
  <w:style w:type="paragraph" w:customStyle="1" w:styleId="72">
    <w:name w:val="xl55"/>
    <w:basedOn w:val="1"/>
    <w:qFormat/>
    <w:uiPriority w:val="0"/>
    <w:pPr>
      <w:widowControl/>
      <w:pBdr>
        <w:top w:val="dashed" w:color="auto" w:sz="4" w:space="0"/>
        <w:left w:val="single" w:color="auto" w:sz="4" w:space="0"/>
        <w:bottom w:val="single" w:color="auto" w:sz="8" w:space="0"/>
        <w:right w:val="single" w:color="auto" w:sz="8" w:space="0"/>
      </w:pBdr>
      <w:adjustRightInd/>
      <w:spacing w:before="100" w:beforeAutospacing="1" w:after="100" w:afterAutospacing="1" w:line="240" w:lineRule="auto"/>
      <w:textAlignment w:val="auto"/>
    </w:pPr>
    <w:rPr>
      <w:rFonts w:ascii="宋体" w:hAnsi="宋体"/>
      <w:color w:val="000000"/>
      <w:sz w:val="20"/>
    </w:rPr>
  </w:style>
  <w:style w:type="paragraph" w:customStyle="1" w:styleId="73">
    <w:name w:val="xl54"/>
    <w:basedOn w:val="1"/>
    <w:qFormat/>
    <w:uiPriority w:val="0"/>
    <w:pPr>
      <w:widowControl/>
      <w:pBdr>
        <w:top w:val="dashed" w:color="auto" w:sz="4" w:space="0"/>
        <w:left w:val="single" w:color="auto" w:sz="4" w:space="0"/>
        <w:bottom w:val="single" w:color="auto" w:sz="8" w:space="0"/>
        <w:right w:val="single" w:color="auto" w:sz="4" w:space="0"/>
      </w:pBdr>
      <w:adjustRightInd/>
      <w:spacing w:before="100" w:beforeAutospacing="1" w:after="100" w:afterAutospacing="1" w:line="240" w:lineRule="auto"/>
      <w:textAlignment w:val="auto"/>
    </w:pPr>
    <w:rPr>
      <w:rFonts w:ascii="宋体" w:hAnsi="宋体"/>
      <w:color w:val="000000"/>
      <w:sz w:val="20"/>
    </w:rPr>
  </w:style>
  <w:style w:type="paragraph" w:customStyle="1" w:styleId="74">
    <w:name w:val="样式 标题 2 + 宋体 五号 非加粗 黑色"/>
    <w:basedOn w:val="3"/>
    <w:qFormat/>
    <w:uiPriority w:val="0"/>
    <w:rPr>
      <w:rFonts w:ascii="宋体" w:hAnsi="宋体" w:eastAsia="宋体"/>
      <w:b w:val="0"/>
      <w:bCs w:val="0"/>
      <w:color w:val="000000"/>
      <w:sz w:val="21"/>
    </w:rPr>
  </w:style>
  <w:style w:type="paragraph" w:customStyle="1" w:styleId="75">
    <w:name w:val="xl60"/>
    <w:basedOn w:val="1"/>
    <w:qFormat/>
    <w:uiPriority w:val="0"/>
    <w:pPr>
      <w:widowControl/>
      <w:pBdr>
        <w:top w:val="single" w:color="auto" w:sz="4" w:space="0"/>
        <w:left w:val="single" w:color="auto" w:sz="8" w:space="0"/>
        <w:right w:val="single" w:color="auto" w:sz="4" w:space="0"/>
      </w:pBdr>
      <w:adjustRightInd/>
      <w:spacing w:before="100" w:beforeAutospacing="1" w:after="100" w:afterAutospacing="1" w:line="240" w:lineRule="auto"/>
      <w:jc w:val="center"/>
      <w:textAlignment w:val="auto"/>
    </w:pPr>
    <w:rPr>
      <w:rFonts w:ascii="宋体" w:hAnsi="宋体"/>
      <w:b/>
      <w:bCs/>
      <w:color w:val="000000"/>
      <w:sz w:val="20"/>
    </w:rPr>
  </w:style>
  <w:style w:type="paragraph" w:customStyle="1" w:styleId="76">
    <w:name w:val="Char Char Char"/>
    <w:basedOn w:val="1"/>
    <w:qFormat/>
    <w:uiPriority w:val="0"/>
    <w:pPr>
      <w:adjustRightInd/>
      <w:spacing w:line="240" w:lineRule="auto"/>
      <w:jc w:val="both"/>
      <w:textAlignment w:val="auto"/>
    </w:pPr>
    <w:rPr>
      <w:rFonts w:ascii="Tahoma" w:hAnsi="Tahoma"/>
      <w:kern w:val="2"/>
    </w:rPr>
  </w:style>
  <w:style w:type="paragraph" w:customStyle="1" w:styleId="77">
    <w:name w:val="样式 标题 1 + 四号 居中 段前: 12 磅 段后: 12 磅 行距: 单倍行距"/>
    <w:basedOn w:val="2"/>
    <w:qFormat/>
    <w:uiPriority w:val="0"/>
    <w:pPr>
      <w:spacing w:before="240" w:after="240" w:line="240" w:lineRule="auto"/>
      <w:jc w:val="center"/>
    </w:pPr>
    <w:rPr>
      <w:rFonts w:cs="宋体"/>
      <w:sz w:val="28"/>
      <w:szCs w:val="20"/>
    </w:rPr>
  </w:style>
  <w:style w:type="paragraph" w:customStyle="1" w:styleId="78">
    <w:name w:val="xl39"/>
    <w:basedOn w:val="1"/>
    <w:qFormat/>
    <w:uiPriority w:val="0"/>
    <w:pPr>
      <w:widowControl/>
      <w:pBdr>
        <w:top w:val="dashed" w:color="auto" w:sz="4" w:space="0"/>
        <w:left w:val="single" w:color="auto" w:sz="4" w:space="0"/>
        <w:right w:val="single" w:color="auto" w:sz="4" w:space="0"/>
      </w:pBdr>
      <w:adjustRightInd/>
      <w:spacing w:before="100" w:beforeAutospacing="1" w:after="100" w:afterAutospacing="1" w:line="240" w:lineRule="auto"/>
      <w:textAlignment w:val="auto"/>
    </w:pPr>
    <w:rPr>
      <w:rFonts w:ascii="宋体" w:hAnsi="宋体"/>
      <w:color w:val="000000"/>
      <w:sz w:val="20"/>
    </w:rPr>
  </w:style>
  <w:style w:type="paragraph" w:customStyle="1" w:styleId="79">
    <w:name w:val="正文文本缩进 31"/>
    <w:basedOn w:val="1"/>
    <w:qFormat/>
    <w:uiPriority w:val="0"/>
    <w:pPr>
      <w:widowControl/>
      <w:spacing w:before="100" w:after="100" w:line="240" w:lineRule="auto"/>
    </w:pPr>
    <w:rPr>
      <w:rFonts w:ascii="宋体" w:hAnsi="宋体"/>
    </w:rPr>
  </w:style>
  <w:style w:type="paragraph" w:customStyle="1" w:styleId="80">
    <w:name w:val="我的编号"/>
    <w:basedOn w:val="1"/>
    <w:qFormat/>
    <w:uiPriority w:val="0"/>
    <w:pPr>
      <w:numPr>
        <w:ilvl w:val="0"/>
        <w:numId w:val="3"/>
      </w:numPr>
      <w:adjustRightInd/>
      <w:spacing w:before="100" w:beforeAutospacing="1" w:afterLines="50" w:line="240" w:lineRule="auto"/>
      <w:jc w:val="both"/>
      <w:textAlignment w:val="auto"/>
    </w:pPr>
    <w:rPr>
      <w:kern w:val="2"/>
      <w:sz w:val="21"/>
      <w:szCs w:val="21"/>
    </w:rPr>
  </w:style>
  <w:style w:type="paragraph" w:customStyle="1" w:styleId="81">
    <w:name w:val="font7"/>
    <w:basedOn w:val="1"/>
    <w:qFormat/>
    <w:uiPriority w:val="0"/>
    <w:pPr>
      <w:widowControl/>
      <w:adjustRightInd/>
      <w:spacing w:before="100" w:beforeAutospacing="1" w:after="100" w:afterAutospacing="1" w:line="240" w:lineRule="auto"/>
      <w:textAlignment w:val="auto"/>
    </w:pPr>
    <w:rPr>
      <w:rFonts w:hint="eastAsia" w:ascii="宋体" w:hAnsi="宋体"/>
      <w:b/>
      <w:bCs/>
      <w:color w:val="000000"/>
      <w:sz w:val="20"/>
    </w:rPr>
  </w:style>
  <w:style w:type="paragraph" w:customStyle="1" w:styleId="82">
    <w:name w:val="xl28"/>
    <w:basedOn w:val="1"/>
    <w:qFormat/>
    <w:uiPriority w:val="0"/>
    <w:pPr>
      <w:widowControl/>
      <w:pBdr>
        <w:top w:val="single" w:color="auto" w:sz="4" w:space="0"/>
        <w:bottom w:val="single" w:color="auto" w:sz="4" w:space="0"/>
      </w:pBdr>
      <w:shd w:val="clear" w:color="auto" w:fill="C0C0C0"/>
      <w:adjustRightInd/>
      <w:spacing w:before="100" w:beforeAutospacing="1" w:after="100" w:afterAutospacing="1" w:line="240" w:lineRule="auto"/>
      <w:jc w:val="center"/>
      <w:textAlignment w:val="auto"/>
    </w:pPr>
    <w:rPr>
      <w:rFonts w:ascii="宋体" w:hAnsi="宋体"/>
      <w:b/>
      <w:bCs/>
      <w:color w:val="000000"/>
      <w:sz w:val="20"/>
    </w:rPr>
  </w:style>
  <w:style w:type="paragraph" w:customStyle="1" w:styleId="83">
    <w:name w:val="xl27"/>
    <w:basedOn w:val="1"/>
    <w:qFormat/>
    <w:uiPriority w:val="0"/>
    <w:pPr>
      <w:widowControl/>
      <w:pBdr>
        <w:top w:val="single" w:color="auto" w:sz="4" w:space="0"/>
        <w:left w:val="single" w:color="auto" w:sz="8" w:space="0"/>
        <w:bottom w:val="single" w:color="auto" w:sz="4" w:space="0"/>
      </w:pBdr>
      <w:shd w:val="clear" w:color="auto" w:fill="C0C0C0"/>
      <w:adjustRightInd/>
      <w:spacing w:before="100" w:beforeAutospacing="1" w:after="100" w:afterAutospacing="1" w:line="240" w:lineRule="auto"/>
      <w:jc w:val="center"/>
      <w:textAlignment w:val="auto"/>
    </w:pPr>
    <w:rPr>
      <w:rFonts w:ascii="宋体" w:hAnsi="宋体"/>
      <w:b/>
      <w:bCs/>
      <w:color w:val="000000"/>
      <w:sz w:val="20"/>
    </w:rPr>
  </w:style>
  <w:style w:type="paragraph" w:customStyle="1" w:styleId="84">
    <w:name w:val="xl4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auto"/>
    </w:pPr>
    <w:rPr>
      <w:rFonts w:ascii="宋体" w:hAnsi="宋体"/>
      <w:color w:val="000000"/>
      <w:sz w:val="20"/>
    </w:rPr>
  </w:style>
  <w:style w:type="paragraph" w:customStyle="1" w:styleId="85">
    <w:name w:val="样式 标题 5 + 段前: 5 磅 段后: 5 磅 行距: 单倍行距"/>
    <w:basedOn w:val="6"/>
    <w:qFormat/>
    <w:uiPriority w:val="0"/>
    <w:pPr>
      <w:spacing w:before="100" w:after="100" w:line="240" w:lineRule="auto"/>
    </w:pPr>
    <w:rPr>
      <w:rFonts w:cs="宋体"/>
      <w:szCs w:val="20"/>
    </w:rPr>
  </w:style>
  <w:style w:type="paragraph" w:customStyle="1" w:styleId="86">
    <w:name w:val="xl65"/>
    <w:basedOn w:val="1"/>
    <w:qFormat/>
    <w:uiPriority w:val="0"/>
    <w:pPr>
      <w:widowControl/>
      <w:pBdr>
        <w:left w:val="single" w:color="auto" w:sz="8" w:space="0"/>
        <w:bottom w:val="single" w:color="auto" w:sz="4" w:space="0"/>
        <w:right w:val="single" w:color="auto" w:sz="4" w:space="0"/>
      </w:pBdr>
      <w:adjustRightInd/>
      <w:spacing w:before="100" w:beforeAutospacing="1" w:after="100" w:afterAutospacing="1" w:line="240" w:lineRule="auto"/>
      <w:jc w:val="center"/>
      <w:textAlignment w:val="auto"/>
    </w:pPr>
    <w:rPr>
      <w:rFonts w:ascii="宋体" w:hAnsi="宋体"/>
      <w:color w:val="000000"/>
      <w:sz w:val="20"/>
    </w:rPr>
  </w:style>
  <w:style w:type="paragraph" w:customStyle="1" w:styleId="87">
    <w:name w:val="xl37"/>
    <w:basedOn w:val="1"/>
    <w:qFormat/>
    <w:uiPriority w:val="0"/>
    <w:pPr>
      <w:widowControl/>
      <w:pBdr>
        <w:top w:val="dashed" w:color="auto" w:sz="4" w:space="0"/>
        <w:left w:val="single" w:color="auto" w:sz="4" w:space="0"/>
        <w:bottom w:val="single" w:color="auto" w:sz="4" w:space="0"/>
        <w:right w:val="single" w:color="auto" w:sz="8" w:space="0"/>
      </w:pBdr>
      <w:adjustRightInd/>
      <w:spacing w:before="100" w:beforeAutospacing="1" w:after="100" w:afterAutospacing="1" w:line="240" w:lineRule="auto"/>
      <w:textAlignment w:val="auto"/>
    </w:pPr>
    <w:rPr>
      <w:rFonts w:ascii="宋体" w:hAnsi="宋体"/>
      <w:color w:val="000000"/>
      <w:sz w:val="20"/>
    </w:rPr>
  </w:style>
  <w:style w:type="paragraph" w:customStyle="1" w:styleId="88">
    <w:name w:val="正文1"/>
    <w:basedOn w:val="1"/>
    <w:qFormat/>
    <w:uiPriority w:val="0"/>
    <w:pPr>
      <w:adjustRightInd/>
      <w:spacing w:before="60" w:after="60" w:line="360" w:lineRule="auto"/>
      <w:jc w:val="both"/>
      <w:textAlignment w:val="auto"/>
      <w:outlineLvl w:val="6"/>
    </w:pPr>
    <w:rPr>
      <w:kern w:val="2"/>
      <w:szCs w:val="24"/>
    </w:rPr>
  </w:style>
  <w:style w:type="paragraph" w:customStyle="1" w:styleId="89">
    <w:name w:val="_Style 12"/>
    <w:basedOn w:val="1"/>
    <w:next w:val="1"/>
    <w:qFormat/>
    <w:uiPriority w:val="0"/>
  </w:style>
  <w:style w:type="paragraph" w:customStyle="1" w:styleId="90">
    <w:name w:val="样式 样式 标题 2 + 宋体 五号 非加粗 黑色 + 段前: 6 磅 段后: 0 磅 行距: 单倍行距"/>
    <w:basedOn w:val="74"/>
    <w:qFormat/>
    <w:uiPriority w:val="0"/>
    <w:pPr>
      <w:spacing w:before="120" w:after="0" w:line="240" w:lineRule="auto"/>
    </w:pPr>
    <w:rPr>
      <w:rFonts w:cs="宋体"/>
      <w:szCs w:val="20"/>
    </w:rPr>
  </w:style>
  <w:style w:type="paragraph" w:customStyle="1" w:styleId="91">
    <w:name w:val="xl40"/>
    <w:basedOn w:val="1"/>
    <w:qFormat/>
    <w:uiPriority w:val="0"/>
    <w:pPr>
      <w:widowControl/>
      <w:pBdr>
        <w:top w:val="dashed" w:color="auto" w:sz="4" w:space="0"/>
        <w:left w:val="single" w:color="auto" w:sz="4" w:space="0"/>
        <w:right w:val="single" w:color="auto" w:sz="8" w:space="0"/>
      </w:pBdr>
      <w:adjustRightInd/>
      <w:spacing w:before="100" w:beforeAutospacing="1" w:after="100" w:afterAutospacing="1" w:line="240" w:lineRule="auto"/>
      <w:textAlignment w:val="auto"/>
    </w:pPr>
    <w:rPr>
      <w:rFonts w:ascii="宋体" w:hAnsi="宋体"/>
      <w:color w:val="000000"/>
      <w:sz w:val="20"/>
    </w:rPr>
  </w:style>
  <w:style w:type="paragraph" w:customStyle="1" w:styleId="92">
    <w:name w:val="样式 样式 样式 标题 2 + 宋体 五号 非加粗 黑色 + 段前: 6 磅 段后: 0 磅 行距: 单倍行距 + 段前: 12..."/>
    <w:basedOn w:val="90"/>
    <w:qFormat/>
    <w:uiPriority w:val="0"/>
    <w:pPr>
      <w:spacing w:before="240"/>
    </w:pPr>
  </w:style>
  <w:style w:type="paragraph" w:customStyle="1" w:styleId="93">
    <w:name w:val="样式 标题 3h3H3sect1.2.3 + 五号 段前: 6 磅 段后: 6 磅 行距: 单倍行距"/>
    <w:basedOn w:val="4"/>
    <w:qFormat/>
    <w:uiPriority w:val="0"/>
    <w:pPr>
      <w:spacing w:before="120" w:after="120" w:line="240" w:lineRule="auto"/>
    </w:pPr>
    <w:rPr>
      <w:rFonts w:cs="宋体"/>
      <w:sz w:val="21"/>
      <w:szCs w:val="20"/>
    </w:rPr>
  </w:style>
  <w:style w:type="paragraph" w:customStyle="1" w:styleId="94">
    <w:name w:val="样式 宋体 五号 行距: 单倍行距"/>
    <w:basedOn w:val="1"/>
    <w:qFormat/>
    <w:uiPriority w:val="0"/>
    <w:pPr>
      <w:spacing w:line="240" w:lineRule="auto"/>
    </w:pPr>
    <w:rPr>
      <w:rFonts w:ascii="宋体" w:hAnsi="宋体" w:cs="宋体"/>
      <w:sz w:val="21"/>
    </w:rPr>
  </w:style>
  <w:style w:type="paragraph" w:customStyle="1" w:styleId="95">
    <w:name w:val="xl52"/>
    <w:basedOn w:val="1"/>
    <w:qFormat/>
    <w:uiPriority w:val="0"/>
    <w:pPr>
      <w:widowControl/>
      <w:pBdr>
        <w:top w:val="single" w:color="auto" w:sz="4" w:space="0"/>
        <w:bottom w:val="single" w:color="auto" w:sz="4" w:space="0"/>
        <w:right w:val="single" w:color="auto" w:sz="8" w:space="0"/>
      </w:pBdr>
      <w:shd w:val="clear" w:color="auto" w:fill="C0C0C0"/>
      <w:adjustRightInd/>
      <w:spacing w:before="100" w:beforeAutospacing="1" w:after="100" w:afterAutospacing="1" w:line="240" w:lineRule="auto"/>
      <w:jc w:val="center"/>
      <w:textAlignment w:val="auto"/>
    </w:pPr>
    <w:rPr>
      <w:rFonts w:ascii="宋体" w:hAnsi="宋体"/>
      <w:b/>
      <w:bCs/>
      <w:color w:val="000000"/>
      <w:sz w:val="20"/>
    </w:rPr>
  </w:style>
  <w:style w:type="paragraph" w:customStyle="1" w:styleId="96">
    <w:name w:val="xl48"/>
    <w:basedOn w:val="1"/>
    <w:qFormat/>
    <w:uiPriority w:val="0"/>
    <w:pPr>
      <w:widowControl/>
      <w:pBdr>
        <w:top w:val="single" w:color="auto" w:sz="4" w:space="0"/>
        <w:left w:val="single" w:color="auto" w:sz="4" w:space="0"/>
        <w:bottom w:val="dashed" w:color="auto" w:sz="4" w:space="0"/>
        <w:right w:val="single" w:color="auto" w:sz="8" w:space="0"/>
      </w:pBdr>
      <w:adjustRightInd/>
      <w:spacing w:before="100" w:beforeAutospacing="1" w:after="100" w:afterAutospacing="1" w:line="240" w:lineRule="auto"/>
      <w:textAlignment w:val="auto"/>
    </w:pPr>
    <w:rPr>
      <w:rFonts w:ascii="宋体" w:hAnsi="宋体"/>
      <w:color w:val="000000"/>
      <w:sz w:val="20"/>
    </w:rPr>
  </w:style>
  <w:style w:type="paragraph" w:customStyle="1" w:styleId="97">
    <w:name w:val="样式2"/>
    <w:basedOn w:val="1"/>
    <w:qFormat/>
    <w:uiPriority w:val="0"/>
    <w:pPr>
      <w:numPr>
        <w:ilvl w:val="1"/>
        <w:numId w:val="4"/>
      </w:numPr>
      <w:spacing w:line="240" w:lineRule="auto"/>
      <w:jc w:val="both"/>
    </w:pPr>
    <w:rPr>
      <w:rFonts w:ascii="宋体" w:hAnsi="宋体"/>
      <w:sz w:val="21"/>
      <w:szCs w:val="21"/>
    </w:rPr>
  </w:style>
  <w:style w:type="paragraph" w:customStyle="1" w:styleId="98">
    <w:name w:val="样式 宋体 五号 两端对齐 行距: 单倍行距"/>
    <w:basedOn w:val="1"/>
    <w:qFormat/>
    <w:uiPriority w:val="0"/>
    <w:pPr>
      <w:spacing w:line="240" w:lineRule="auto"/>
      <w:jc w:val="both"/>
    </w:pPr>
    <w:rPr>
      <w:rFonts w:ascii="宋体" w:hAnsi="宋体" w:cs="宋体"/>
      <w:sz w:val="21"/>
    </w:rPr>
  </w:style>
  <w:style w:type="paragraph" w:customStyle="1" w:styleId="99">
    <w:name w:val="Body Text 21"/>
    <w:basedOn w:val="1"/>
    <w:qFormat/>
    <w:uiPriority w:val="0"/>
    <w:pPr>
      <w:spacing w:before="240" w:line="400" w:lineRule="exact"/>
      <w:ind w:firstLine="357"/>
      <w:jc w:val="both"/>
    </w:pPr>
    <w:rPr>
      <w:kern w:val="2"/>
      <w:sz w:val="28"/>
    </w:rPr>
  </w:style>
  <w:style w:type="paragraph" w:customStyle="1" w:styleId="100">
    <w:name w:val="xl30"/>
    <w:basedOn w:val="1"/>
    <w:qFormat/>
    <w:uiPriority w:val="0"/>
    <w:pPr>
      <w:widowControl/>
      <w:pBdr>
        <w:top w:val="single" w:color="auto" w:sz="4" w:space="0"/>
        <w:bottom w:val="single" w:color="auto" w:sz="4" w:space="0"/>
        <w:right w:val="single" w:color="auto" w:sz="8" w:space="0"/>
      </w:pBdr>
      <w:shd w:val="clear" w:color="auto" w:fill="C0C0C0"/>
      <w:adjustRightInd/>
      <w:spacing w:before="100" w:beforeAutospacing="1" w:after="100" w:afterAutospacing="1" w:line="240" w:lineRule="auto"/>
      <w:textAlignment w:val="auto"/>
    </w:pPr>
    <w:rPr>
      <w:rFonts w:ascii="宋体" w:hAnsi="宋体"/>
      <w:color w:val="000000"/>
      <w:sz w:val="20"/>
    </w:rPr>
  </w:style>
  <w:style w:type="paragraph" w:customStyle="1" w:styleId="101">
    <w:name w:val="标题4－连尉平"/>
    <w:basedOn w:val="1"/>
    <w:qFormat/>
    <w:uiPriority w:val="0"/>
    <w:pPr>
      <w:adjustRightInd/>
      <w:spacing w:line="240" w:lineRule="auto"/>
      <w:jc w:val="both"/>
      <w:textAlignment w:val="auto"/>
    </w:pPr>
    <w:rPr>
      <w:kern w:val="2"/>
      <w:sz w:val="21"/>
    </w:rPr>
  </w:style>
  <w:style w:type="paragraph" w:customStyle="1" w:styleId="102">
    <w:name w:val="样式1"/>
    <w:basedOn w:val="1"/>
    <w:qFormat/>
    <w:uiPriority w:val="0"/>
    <w:pPr>
      <w:numPr>
        <w:ilvl w:val="0"/>
        <w:numId w:val="5"/>
      </w:numPr>
      <w:spacing w:line="240" w:lineRule="auto"/>
      <w:jc w:val="both"/>
    </w:pPr>
    <w:rPr>
      <w:rFonts w:ascii="宋体" w:hAnsi="宋体"/>
      <w:sz w:val="21"/>
      <w:szCs w:val="21"/>
    </w:rPr>
  </w:style>
  <w:style w:type="paragraph" w:customStyle="1" w:styleId="103">
    <w:name w:val="样式 标题 4 + 段前: 5 磅 段后: 5 磅 行距: 单倍行距"/>
    <w:basedOn w:val="5"/>
    <w:qFormat/>
    <w:uiPriority w:val="0"/>
    <w:pPr>
      <w:spacing w:before="100" w:after="100" w:line="240" w:lineRule="auto"/>
    </w:pPr>
    <w:rPr>
      <w:rFonts w:cs="宋体"/>
      <w:szCs w:val="20"/>
    </w:rPr>
  </w:style>
  <w:style w:type="paragraph" w:customStyle="1" w:styleId="104">
    <w:name w:val="xl31"/>
    <w:basedOn w:val="1"/>
    <w:qFormat/>
    <w:uiPriority w:val="0"/>
    <w:pPr>
      <w:widowControl/>
      <w:pBdr>
        <w:top w:val="single" w:color="auto" w:sz="4" w:space="0"/>
        <w:left w:val="single" w:color="auto" w:sz="4" w:space="0"/>
        <w:bottom w:val="dashed" w:color="auto" w:sz="4" w:space="0"/>
        <w:right w:val="single" w:color="auto" w:sz="4" w:space="0"/>
      </w:pBdr>
      <w:adjustRightInd/>
      <w:spacing w:before="100" w:beforeAutospacing="1" w:after="100" w:afterAutospacing="1" w:line="240" w:lineRule="auto"/>
      <w:textAlignment w:val="auto"/>
    </w:pPr>
    <w:rPr>
      <w:rFonts w:ascii="宋体" w:hAnsi="宋体"/>
      <w:color w:val="000000"/>
      <w:sz w:val="20"/>
    </w:rPr>
  </w:style>
  <w:style w:type="paragraph" w:customStyle="1" w:styleId="105">
    <w:name w:val="样式 宋体 五号 两端对齐 行距: 单倍行距1"/>
    <w:basedOn w:val="1"/>
    <w:qFormat/>
    <w:uiPriority w:val="0"/>
    <w:pPr>
      <w:spacing w:line="240" w:lineRule="auto"/>
      <w:jc w:val="both"/>
    </w:pPr>
    <w:rPr>
      <w:rFonts w:ascii="宋体" w:hAnsi="宋体" w:cs="宋体"/>
      <w:sz w:val="21"/>
    </w:rPr>
  </w:style>
  <w:style w:type="paragraph" w:customStyle="1" w:styleId="106">
    <w:name w:val="样式 样式 标题 4 + 段前: 5 磅 段后: 5 磅 行距: 单倍行距 + 五号"/>
    <w:basedOn w:val="103"/>
    <w:qFormat/>
    <w:uiPriority w:val="0"/>
    <w:rPr>
      <w:sz w:val="21"/>
    </w:rPr>
  </w:style>
  <w:style w:type="paragraph" w:customStyle="1" w:styleId="107">
    <w:name w:val="Body Text Indent 21"/>
    <w:basedOn w:val="1"/>
    <w:qFormat/>
    <w:uiPriority w:val="0"/>
    <w:pPr>
      <w:spacing w:line="240" w:lineRule="auto"/>
      <w:ind w:left="720" w:hanging="720"/>
      <w:jc w:val="both"/>
    </w:pPr>
    <w:rPr>
      <w:b/>
      <w:kern w:val="2"/>
      <w:sz w:val="28"/>
    </w:rPr>
  </w:style>
  <w:style w:type="paragraph" w:customStyle="1" w:styleId="108">
    <w:name w:val="xl4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ascii="宋体" w:hAnsi="宋体"/>
      <w:color w:val="000000"/>
      <w:sz w:val="20"/>
    </w:rPr>
  </w:style>
  <w:style w:type="paragraph" w:customStyle="1" w:styleId="109">
    <w:name w:val="正文2"/>
    <w:basedOn w:val="1"/>
    <w:qFormat/>
    <w:uiPriority w:val="0"/>
    <w:pPr>
      <w:adjustRightInd/>
      <w:spacing w:before="60" w:after="60" w:line="360" w:lineRule="auto"/>
      <w:jc w:val="both"/>
      <w:textAlignment w:val="auto"/>
      <w:outlineLvl w:val="7"/>
    </w:pPr>
    <w:rPr>
      <w:kern w:val="2"/>
      <w:szCs w:val="24"/>
    </w:rPr>
  </w:style>
  <w:style w:type="paragraph" w:customStyle="1" w:styleId="110">
    <w:name w:val="xl38"/>
    <w:basedOn w:val="1"/>
    <w:qFormat/>
    <w:uiPriority w:val="0"/>
    <w:pPr>
      <w:widowControl/>
      <w:pBdr>
        <w:top w:val="dashed" w:color="auto" w:sz="4" w:space="0"/>
        <w:left w:val="single" w:color="auto" w:sz="4" w:space="0"/>
        <w:right w:val="single" w:color="auto" w:sz="4" w:space="0"/>
      </w:pBdr>
      <w:adjustRightInd/>
      <w:spacing w:before="100" w:beforeAutospacing="1" w:after="100" w:afterAutospacing="1" w:line="240" w:lineRule="auto"/>
      <w:jc w:val="center"/>
      <w:textAlignment w:val="auto"/>
    </w:pPr>
    <w:rPr>
      <w:rFonts w:ascii="宋体" w:hAnsi="宋体"/>
      <w:color w:val="000000"/>
      <w:sz w:val="20"/>
    </w:rPr>
  </w:style>
  <w:style w:type="paragraph" w:customStyle="1" w:styleId="111">
    <w:name w:val="xl49"/>
    <w:basedOn w:val="1"/>
    <w:qFormat/>
    <w:uiPriority w:val="0"/>
    <w:pPr>
      <w:widowControl/>
      <w:pBdr>
        <w:top w:val="dashed" w:color="auto" w:sz="4" w:space="0"/>
        <w:left w:val="single" w:color="auto" w:sz="4" w:space="0"/>
        <w:bottom w:val="dashed" w:color="auto" w:sz="4" w:space="0"/>
        <w:right w:val="single" w:color="auto" w:sz="8" w:space="0"/>
      </w:pBdr>
      <w:adjustRightInd/>
      <w:spacing w:before="100" w:beforeAutospacing="1" w:after="100" w:afterAutospacing="1" w:line="240" w:lineRule="auto"/>
      <w:textAlignment w:val="auto"/>
    </w:pPr>
    <w:rPr>
      <w:rFonts w:ascii="宋体" w:hAnsi="宋体"/>
      <w:color w:val="000000"/>
      <w:sz w:val="20"/>
    </w:rPr>
  </w:style>
  <w:style w:type="paragraph" w:customStyle="1" w:styleId="112">
    <w:name w:val="xl47"/>
    <w:basedOn w:val="1"/>
    <w:qFormat/>
    <w:uiPriority w:val="0"/>
    <w:pPr>
      <w:widowControl/>
      <w:pBdr>
        <w:top w:val="single" w:color="auto" w:sz="4" w:space="0"/>
        <w:bottom w:val="single" w:color="auto" w:sz="4" w:space="0"/>
        <w:right w:val="single" w:color="auto" w:sz="8" w:space="0"/>
      </w:pBdr>
      <w:shd w:val="clear" w:color="auto" w:fill="C0C0C0"/>
      <w:adjustRightInd/>
      <w:spacing w:before="100" w:beforeAutospacing="1" w:after="100" w:afterAutospacing="1" w:line="240" w:lineRule="auto"/>
      <w:textAlignment w:val="auto"/>
    </w:pPr>
    <w:rPr>
      <w:rFonts w:ascii="宋体" w:hAnsi="宋体"/>
      <w:b/>
      <w:bCs/>
      <w:color w:val="000000"/>
      <w:sz w:val="20"/>
    </w:rPr>
  </w:style>
  <w:style w:type="paragraph" w:customStyle="1" w:styleId="113">
    <w:name w:val="xl33"/>
    <w:basedOn w:val="1"/>
    <w:qFormat/>
    <w:uiPriority w:val="0"/>
    <w:pPr>
      <w:widowControl/>
      <w:pBdr>
        <w:top w:val="dashed" w:color="auto" w:sz="4" w:space="0"/>
        <w:left w:val="single" w:color="auto" w:sz="4" w:space="0"/>
        <w:bottom w:val="dashed" w:color="auto" w:sz="4" w:space="0"/>
        <w:right w:val="single" w:color="auto" w:sz="4" w:space="0"/>
      </w:pBdr>
      <w:adjustRightInd/>
      <w:spacing w:before="100" w:beforeAutospacing="1" w:after="100" w:afterAutospacing="1" w:line="240" w:lineRule="auto"/>
      <w:textAlignment w:val="auto"/>
    </w:pPr>
    <w:rPr>
      <w:rFonts w:ascii="宋体" w:hAnsi="宋体"/>
      <w:color w:val="000000"/>
      <w:sz w:val="20"/>
    </w:rPr>
  </w:style>
  <w:style w:type="paragraph" w:customStyle="1" w:styleId="114">
    <w:name w:val="图示标注 Char"/>
    <w:basedOn w:val="17"/>
    <w:next w:val="1"/>
    <w:qFormat/>
    <w:uiPriority w:val="0"/>
    <w:pPr>
      <w:adjustRightInd/>
      <w:spacing w:line="360" w:lineRule="auto"/>
      <w:textAlignment w:val="auto"/>
    </w:pPr>
    <w:rPr>
      <w:rFonts w:ascii="楷体_GB2312" w:eastAsia="楷体_GB2312"/>
      <w:bCs/>
      <w:color w:val="000000"/>
      <w:kern w:val="4"/>
      <w:sz w:val="28"/>
      <w:szCs w:val="28"/>
    </w:rPr>
  </w:style>
  <w:style w:type="paragraph" w:customStyle="1" w:styleId="115">
    <w:name w:val="xl29"/>
    <w:basedOn w:val="1"/>
    <w:qFormat/>
    <w:uiPriority w:val="0"/>
    <w:pPr>
      <w:widowControl/>
      <w:pBdr>
        <w:top w:val="single" w:color="auto" w:sz="4" w:space="0"/>
        <w:bottom w:val="single" w:color="auto" w:sz="4" w:space="0"/>
      </w:pBdr>
      <w:shd w:val="clear" w:color="auto" w:fill="C0C0C0"/>
      <w:adjustRightInd/>
      <w:spacing w:before="100" w:beforeAutospacing="1" w:after="100" w:afterAutospacing="1" w:line="240" w:lineRule="auto"/>
      <w:textAlignment w:val="auto"/>
    </w:pPr>
    <w:rPr>
      <w:rFonts w:ascii="宋体" w:hAnsi="宋体"/>
      <w:color w:val="000000"/>
      <w:sz w:val="20"/>
    </w:rPr>
  </w:style>
  <w:style w:type="paragraph" w:customStyle="1" w:styleId="116">
    <w:name w:val="font6"/>
    <w:basedOn w:val="1"/>
    <w:qFormat/>
    <w:uiPriority w:val="0"/>
    <w:pPr>
      <w:widowControl/>
      <w:adjustRightInd/>
      <w:spacing w:before="100" w:beforeAutospacing="1" w:after="100" w:afterAutospacing="1" w:line="240" w:lineRule="auto"/>
      <w:textAlignment w:val="auto"/>
    </w:pPr>
    <w:rPr>
      <w:rFonts w:hint="eastAsia" w:ascii="宋体" w:hAnsi="宋体"/>
      <w:color w:val="000000"/>
      <w:sz w:val="20"/>
    </w:rPr>
  </w:style>
  <w:style w:type="paragraph" w:customStyle="1" w:styleId="117">
    <w:name w:val="xl66"/>
    <w:basedOn w:val="1"/>
    <w:qFormat/>
    <w:uiPriority w:val="0"/>
    <w:pPr>
      <w:widowControl/>
      <w:pBdr>
        <w:left w:val="single" w:color="auto" w:sz="8" w:space="0"/>
        <w:bottom w:val="single" w:color="auto" w:sz="8" w:space="0"/>
        <w:right w:val="single" w:color="auto" w:sz="4" w:space="0"/>
      </w:pBdr>
      <w:adjustRightInd/>
      <w:spacing w:before="100" w:beforeAutospacing="1" w:after="100" w:afterAutospacing="1" w:line="240" w:lineRule="auto"/>
      <w:jc w:val="center"/>
      <w:textAlignment w:val="auto"/>
    </w:pPr>
    <w:rPr>
      <w:rFonts w:ascii="宋体" w:hAnsi="宋体"/>
      <w:b/>
      <w:bCs/>
      <w:color w:val="000000"/>
      <w:sz w:val="20"/>
    </w:rPr>
  </w:style>
  <w:style w:type="paragraph" w:customStyle="1" w:styleId="118">
    <w:name w:val="段落正文"/>
    <w:basedOn w:val="1"/>
    <w:qFormat/>
    <w:uiPriority w:val="0"/>
    <w:pPr>
      <w:adjustRightInd/>
      <w:spacing w:beforeLines="50" w:line="360" w:lineRule="auto"/>
      <w:ind w:firstLine="200" w:firstLineChars="200"/>
      <w:jc w:val="both"/>
      <w:textAlignment w:val="auto"/>
    </w:pPr>
    <w:rPr>
      <w:spacing w:val="2"/>
      <w:kern w:val="2"/>
      <w:sz w:val="21"/>
      <w:szCs w:val="24"/>
    </w:rPr>
  </w:style>
  <w:style w:type="paragraph" w:customStyle="1" w:styleId="119">
    <w:name w:val="xl25"/>
    <w:basedOn w:val="1"/>
    <w:qFormat/>
    <w:uiPriority w:val="0"/>
    <w:pPr>
      <w:widowControl/>
      <w:pBdr>
        <w:top w:val="single" w:color="auto" w:sz="8" w:space="0"/>
        <w:bottom w:val="single" w:color="auto" w:sz="4" w:space="0"/>
      </w:pBdr>
      <w:adjustRightInd/>
      <w:spacing w:before="100" w:beforeAutospacing="1" w:after="100" w:afterAutospacing="1" w:line="240" w:lineRule="auto"/>
      <w:jc w:val="center"/>
      <w:textAlignment w:val="auto"/>
    </w:pPr>
    <w:rPr>
      <w:rFonts w:ascii="宋体" w:hAnsi="宋体"/>
      <w:b/>
      <w:bCs/>
      <w:color w:val="000000"/>
      <w:sz w:val="20"/>
    </w:rPr>
  </w:style>
  <w:style w:type="paragraph" w:customStyle="1" w:styleId="120">
    <w:name w:val="xl63"/>
    <w:basedOn w:val="1"/>
    <w:qFormat/>
    <w:uiPriority w:val="0"/>
    <w:pPr>
      <w:widowControl/>
      <w:pBdr>
        <w:top w:val="single" w:color="auto" w:sz="4" w:space="0"/>
        <w:left w:val="single" w:color="auto" w:sz="8" w:space="0"/>
        <w:right w:val="single" w:color="auto" w:sz="4" w:space="0"/>
      </w:pBdr>
      <w:adjustRightInd/>
      <w:spacing w:before="100" w:beforeAutospacing="1" w:after="100" w:afterAutospacing="1" w:line="240" w:lineRule="auto"/>
      <w:jc w:val="center"/>
      <w:textAlignment w:val="auto"/>
    </w:pPr>
    <w:rPr>
      <w:rFonts w:ascii="宋体" w:hAnsi="宋体"/>
      <w:color w:val="000000"/>
      <w:sz w:val="20"/>
    </w:rPr>
  </w:style>
  <w:style w:type="paragraph" w:customStyle="1" w:styleId="121">
    <w:name w:val="xl46"/>
    <w:basedOn w:val="1"/>
    <w:qFormat/>
    <w:uiPriority w:val="0"/>
    <w:pPr>
      <w:widowControl/>
      <w:pBdr>
        <w:top w:val="single" w:color="auto" w:sz="4" w:space="0"/>
        <w:bottom w:val="single" w:color="auto" w:sz="4" w:space="0"/>
      </w:pBdr>
      <w:shd w:val="clear" w:color="auto" w:fill="C0C0C0"/>
      <w:adjustRightInd/>
      <w:spacing w:before="100" w:beforeAutospacing="1" w:after="100" w:afterAutospacing="1" w:line="240" w:lineRule="auto"/>
      <w:textAlignment w:val="auto"/>
    </w:pPr>
    <w:rPr>
      <w:rFonts w:ascii="宋体" w:hAnsi="宋体"/>
      <w:b/>
      <w:bCs/>
      <w:color w:val="000000"/>
      <w:sz w:val="20"/>
    </w:rPr>
  </w:style>
  <w:style w:type="paragraph" w:customStyle="1" w:styleId="122">
    <w:name w:val="xl64"/>
    <w:basedOn w:val="1"/>
    <w:qFormat/>
    <w:uiPriority w:val="0"/>
    <w:pPr>
      <w:widowControl/>
      <w:pBdr>
        <w:left w:val="single" w:color="auto" w:sz="8" w:space="0"/>
        <w:right w:val="single" w:color="auto" w:sz="4" w:space="0"/>
      </w:pBdr>
      <w:adjustRightInd/>
      <w:spacing w:before="100" w:beforeAutospacing="1" w:after="100" w:afterAutospacing="1" w:line="240" w:lineRule="auto"/>
      <w:jc w:val="center"/>
      <w:textAlignment w:val="auto"/>
    </w:pPr>
    <w:rPr>
      <w:rFonts w:ascii="宋体" w:hAnsi="宋体"/>
      <w:color w:val="000000"/>
      <w:sz w:val="20"/>
    </w:rPr>
  </w:style>
  <w:style w:type="paragraph" w:customStyle="1" w:styleId="123">
    <w:name w:val="xl45"/>
    <w:basedOn w:val="1"/>
    <w:qFormat/>
    <w:uiPriority w:val="0"/>
    <w:pPr>
      <w:widowControl/>
      <w:pBdr>
        <w:top w:val="single" w:color="auto" w:sz="4" w:space="0"/>
        <w:left w:val="single" w:color="auto" w:sz="4" w:space="0"/>
        <w:bottom w:val="single" w:color="auto" w:sz="4" w:space="0"/>
        <w:right w:val="single" w:color="auto" w:sz="8" w:space="0"/>
      </w:pBdr>
      <w:adjustRightInd/>
      <w:spacing w:before="100" w:beforeAutospacing="1" w:after="100" w:afterAutospacing="1" w:line="240" w:lineRule="auto"/>
      <w:textAlignment w:val="auto"/>
    </w:pPr>
    <w:rPr>
      <w:rFonts w:ascii="宋体" w:hAnsi="宋体"/>
      <w:color w:val="000000"/>
      <w:sz w:val="20"/>
    </w:rPr>
  </w:style>
  <w:style w:type="paragraph" w:customStyle="1" w:styleId="124">
    <w:name w:val="1"/>
    <w:basedOn w:val="1"/>
    <w:qFormat/>
    <w:uiPriority w:val="0"/>
    <w:pPr>
      <w:adjustRightInd/>
      <w:spacing w:afterLines="50" w:line="240" w:lineRule="auto"/>
      <w:jc w:val="both"/>
      <w:textAlignment w:val="auto"/>
    </w:pPr>
    <w:rPr>
      <w:rFonts w:ascii="宋体" w:hAnsi="宋体"/>
      <w:b/>
      <w:kern w:val="2"/>
      <w:sz w:val="28"/>
      <w:szCs w:val="28"/>
    </w:rPr>
  </w:style>
  <w:style w:type="paragraph" w:customStyle="1" w:styleId="125">
    <w:name w:val="样式 样式 样式 样式 标题 2 + 宋体 五号 非加粗 黑色 + 段前: 6 磅 段后: 0 磅 行距: 单倍行距 + 段前:..."/>
    <w:basedOn w:val="92"/>
    <w:qFormat/>
    <w:uiPriority w:val="0"/>
    <w:rPr>
      <w:b/>
      <w:bCs/>
    </w:rPr>
  </w:style>
  <w:style w:type="paragraph" w:customStyle="1" w:styleId="126">
    <w:name w:val="xl56"/>
    <w:basedOn w:val="1"/>
    <w:qFormat/>
    <w:uiPriority w:val="0"/>
    <w:pPr>
      <w:widowControl/>
      <w:pBdr>
        <w:top w:val="dashed"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ascii="宋体" w:hAnsi="宋体"/>
      <w:color w:val="000000"/>
      <w:sz w:val="20"/>
    </w:rPr>
  </w:style>
  <w:style w:type="paragraph" w:customStyle="1" w:styleId="127">
    <w:name w:val="Default"/>
    <w:qFormat/>
    <w:uiPriority w:val="0"/>
    <w:pPr>
      <w:widowControl w:val="0"/>
      <w:autoSpaceDE w:val="0"/>
      <w:autoSpaceDN w:val="0"/>
      <w:adjustRightInd w:val="0"/>
    </w:pPr>
    <w:rPr>
      <w:rFonts w:ascii="Arial,Bold" w:hAnsi="Arial,Bold" w:eastAsia="宋体" w:cs="Arial,Bold"/>
      <w:lang w:val="en-US" w:eastAsia="en-US" w:bidi="ar-SA"/>
    </w:rPr>
  </w:style>
  <w:style w:type="paragraph" w:customStyle="1" w:styleId="128">
    <w:name w:val="xl58"/>
    <w:basedOn w:val="1"/>
    <w:qFormat/>
    <w:uiPriority w:val="0"/>
    <w:pPr>
      <w:widowControl/>
      <w:pBdr>
        <w:top w:val="dashed" w:color="auto" w:sz="4" w:space="0"/>
        <w:left w:val="single" w:color="auto" w:sz="4" w:space="0"/>
        <w:bottom w:val="dashed" w:color="auto" w:sz="4" w:space="0"/>
        <w:right w:val="single" w:color="auto" w:sz="4" w:space="0"/>
      </w:pBdr>
      <w:adjustRightInd/>
      <w:spacing w:before="100" w:beforeAutospacing="1" w:after="100" w:afterAutospacing="1" w:line="240" w:lineRule="auto"/>
      <w:jc w:val="center"/>
      <w:textAlignment w:val="auto"/>
    </w:pPr>
    <w:rPr>
      <w:rFonts w:ascii="宋体" w:hAnsi="宋体"/>
      <w:color w:val="000000"/>
      <w:sz w:val="20"/>
    </w:rPr>
  </w:style>
  <w:style w:type="paragraph" w:customStyle="1" w:styleId="12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30">
    <w:name w:val="xl26"/>
    <w:basedOn w:val="1"/>
    <w:uiPriority w:val="0"/>
    <w:pPr>
      <w:widowControl/>
      <w:pBdr>
        <w:top w:val="single" w:color="auto" w:sz="8" w:space="0"/>
        <w:bottom w:val="single" w:color="auto" w:sz="4" w:space="0"/>
        <w:right w:val="single" w:color="auto" w:sz="8" w:space="0"/>
      </w:pBdr>
      <w:adjustRightInd/>
      <w:spacing w:before="100" w:beforeAutospacing="1" w:after="100" w:afterAutospacing="1" w:line="240" w:lineRule="auto"/>
      <w:jc w:val="center"/>
      <w:textAlignment w:val="auto"/>
    </w:pPr>
    <w:rPr>
      <w:rFonts w:ascii="宋体" w:hAnsi="宋体"/>
      <w:b/>
      <w:bCs/>
      <w:color w:val="000000"/>
      <w:sz w:val="20"/>
    </w:rPr>
  </w:style>
  <w:style w:type="paragraph" w:customStyle="1" w:styleId="131">
    <w:name w:val="样式 样式 标题 5 + 段前: 5 磅 段后: 5 磅 行距: 单倍行距 + 五号"/>
    <w:basedOn w:val="85"/>
    <w:uiPriority w:val="0"/>
    <w:rPr>
      <w:sz w:val="21"/>
    </w:rPr>
  </w:style>
  <w:style w:type="paragraph" w:styleId="132">
    <w:name w:val="List Paragraph"/>
    <w:basedOn w:val="1"/>
    <w:qFormat/>
    <w:uiPriority w:val="0"/>
    <w:pPr>
      <w:widowControl/>
      <w:adjustRightInd/>
      <w:spacing w:after="200" w:line="276" w:lineRule="auto"/>
      <w:ind w:left="720"/>
      <w:contextualSpacing/>
      <w:textAlignment w:val="auto"/>
    </w:pPr>
    <w:rPr>
      <w:rFonts w:ascii="Calibri" w:hAnsi="Calibri"/>
      <w:sz w:val="22"/>
      <w:szCs w:val="22"/>
    </w:rPr>
  </w:style>
  <w:style w:type="paragraph" w:customStyle="1" w:styleId="133">
    <w:name w:val="xl51"/>
    <w:basedOn w:val="1"/>
    <w:uiPriority w:val="0"/>
    <w:pPr>
      <w:widowControl/>
      <w:pBdr>
        <w:top w:val="dashed" w:color="auto" w:sz="4" w:space="0"/>
        <w:left w:val="single" w:color="auto" w:sz="4" w:space="0"/>
        <w:bottom w:val="single" w:color="auto" w:sz="4" w:space="0"/>
        <w:right w:val="single" w:color="auto" w:sz="8" w:space="0"/>
      </w:pBdr>
      <w:adjustRightInd/>
      <w:spacing w:before="100" w:beforeAutospacing="1" w:after="100" w:afterAutospacing="1" w:line="240" w:lineRule="auto"/>
      <w:textAlignment w:val="auto"/>
    </w:pPr>
    <w:rPr>
      <w:rFonts w:ascii="宋体" w:hAnsi="宋体"/>
      <w:color w:val="000000"/>
      <w:sz w:val="20"/>
    </w:rPr>
  </w:style>
  <w:style w:type="paragraph" w:customStyle="1" w:styleId="134">
    <w:name w:val="bullet1"/>
    <w:basedOn w:val="1"/>
    <w:uiPriority w:val="0"/>
    <w:pPr>
      <w:widowControl/>
      <w:numPr>
        <w:ilvl w:val="1"/>
        <w:numId w:val="6"/>
      </w:numPr>
      <w:tabs>
        <w:tab w:val="left" w:pos="900"/>
        <w:tab w:val="clear" w:pos="1560"/>
      </w:tabs>
      <w:adjustRightInd/>
      <w:spacing w:after="120" w:line="240" w:lineRule="auto"/>
      <w:ind w:left="907"/>
      <w:textAlignment w:val="auto"/>
    </w:pPr>
    <w:rPr>
      <w:rFonts w:ascii="Garamond" w:hAnsi="Garamond" w:eastAsia="Batang"/>
      <w:snapToGrid w:val="0"/>
      <w:sz w:val="22"/>
      <w:lang w:eastAsia="en-US"/>
    </w:rPr>
  </w:style>
  <w:style w:type="paragraph" w:customStyle="1" w:styleId="135">
    <w:name w:val="xl24"/>
    <w:basedOn w:val="1"/>
    <w:uiPriority w:val="0"/>
    <w:pPr>
      <w:widowControl/>
      <w:pBdr>
        <w:top w:val="single" w:color="auto" w:sz="8" w:space="0"/>
        <w:left w:val="single" w:color="auto" w:sz="8" w:space="0"/>
        <w:bottom w:val="single" w:color="auto" w:sz="4" w:space="0"/>
      </w:pBdr>
      <w:adjustRightInd/>
      <w:spacing w:before="100" w:beforeAutospacing="1" w:after="100" w:afterAutospacing="1" w:line="240" w:lineRule="auto"/>
      <w:jc w:val="center"/>
      <w:textAlignment w:val="auto"/>
    </w:pPr>
    <w:rPr>
      <w:rFonts w:ascii="宋体" w:hAnsi="宋体"/>
      <w:b/>
      <w:bCs/>
      <w:color w:val="000000"/>
      <w:sz w:val="20"/>
    </w:rPr>
  </w:style>
  <w:style w:type="paragraph" w:customStyle="1" w:styleId="136">
    <w:name w:val="样式 标题 2 + 宋体 五号 行距: 单倍行距"/>
    <w:basedOn w:val="3"/>
    <w:uiPriority w:val="0"/>
    <w:pPr>
      <w:spacing w:line="240" w:lineRule="auto"/>
    </w:pPr>
    <w:rPr>
      <w:rFonts w:ascii="宋体" w:hAnsi="宋体" w:eastAsia="宋体" w:cs="宋体"/>
      <w:sz w:val="21"/>
      <w:szCs w:val="20"/>
    </w:rPr>
  </w:style>
  <w:style w:type="paragraph" w:customStyle="1" w:styleId="137">
    <w:name w:val="xl42"/>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auto"/>
    </w:pPr>
    <w:rPr>
      <w:rFonts w:ascii="宋体" w:hAnsi="宋体"/>
      <w:color w:val="000000"/>
      <w:sz w:val="20"/>
    </w:rPr>
  </w:style>
  <w:style w:type="paragraph" w:customStyle="1" w:styleId="138">
    <w:name w:val="xl57"/>
    <w:basedOn w:val="1"/>
    <w:uiPriority w:val="0"/>
    <w:pPr>
      <w:widowControl/>
      <w:pBdr>
        <w:top w:val="single" w:color="auto" w:sz="4" w:space="0"/>
        <w:left w:val="single" w:color="auto" w:sz="4" w:space="0"/>
        <w:bottom w:val="dashed" w:color="auto" w:sz="4" w:space="0"/>
        <w:right w:val="single" w:color="auto" w:sz="4" w:space="0"/>
      </w:pBdr>
      <w:adjustRightInd/>
      <w:spacing w:before="100" w:beforeAutospacing="1" w:after="100" w:afterAutospacing="1" w:line="240" w:lineRule="auto"/>
      <w:jc w:val="center"/>
      <w:textAlignment w:val="auto"/>
    </w:pPr>
    <w:rPr>
      <w:rFonts w:ascii="宋体" w:hAnsi="宋体"/>
      <w:color w:val="000000"/>
      <w:sz w:val="20"/>
    </w:rPr>
  </w:style>
  <w:style w:type="paragraph" w:customStyle="1" w:styleId="139">
    <w:name w:val="xl50"/>
    <w:basedOn w:val="1"/>
    <w:uiPriority w:val="0"/>
    <w:pPr>
      <w:widowControl/>
      <w:pBdr>
        <w:top w:val="dashed" w:color="auto" w:sz="4" w:space="0"/>
        <w:left w:val="single" w:color="auto" w:sz="4" w:space="0"/>
        <w:bottom w:val="single" w:color="auto" w:sz="4" w:space="0"/>
        <w:right w:val="single" w:color="auto" w:sz="8" w:space="0"/>
      </w:pBdr>
      <w:adjustRightInd/>
      <w:spacing w:before="100" w:beforeAutospacing="1" w:after="100" w:afterAutospacing="1" w:line="240" w:lineRule="auto"/>
      <w:textAlignment w:val="auto"/>
    </w:pPr>
    <w:rPr>
      <w:rFonts w:ascii="宋体" w:hAnsi="宋体"/>
      <w:b/>
      <w:bCs/>
      <w:color w:val="000000"/>
      <w:sz w:val="20"/>
    </w:rPr>
  </w:style>
  <w:style w:type="paragraph" w:customStyle="1" w:styleId="140">
    <w:name w:val="xl61"/>
    <w:basedOn w:val="1"/>
    <w:uiPriority w:val="0"/>
    <w:pPr>
      <w:widowControl/>
      <w:pBdr>
        <w:left w:val="single" w:color="auto" w:sz="8" w:space="0"/>
        <w:right w:val="single" w:color="auto" w:sz="4" w:space="0"/>
      </w:pBdr>
      <w:adjustRightInd/>
      <w:spacing w:before="100" w:beforeAutospacing="1" w:after="100" w:afterAutospacing="1" w:line="240" w:lineRule="auto"/>
      <w:jc w:val="center"/>
      <w:textAlignment w:val="auto"/>
    </w:pPr>
    <w:rPr>
      <w:rFonts w:ascii="宋体" w:hAnsi="宋体"/>
      <w:b/>
      <w:bCs/>
      <w:color w:val="000000"/>
      <w:sz w:val="20"/>
    </w:rPr>
  </w:style>
  <w:style w:type="paragraph" w:customStyle="1" w:styleId="141">
    <w:name w:val="PMtextBullet"/>
    <w:basedOn w:val="68"/>
    <w:qFormat/>
    <w:uiPriority w:val="0"/>
    <w:pPr>
      <w:numPr>
        <w:ilvl w:val="0"/>
        <w:numId w:val="7"/>
      </w:numPr>
      <w:tabs>
        <w:tab w:val="left" w:pos="2520"/>
        <w:tab w:val="clear" w:pos="735"/>
      </w:tabs>
      <w:spacing w:after="200"/>
      <w:ind w:left="2520"/>
    </w:pPr>
  </w:style>
  <w:style w:type="paragraph" w:customStyle="1" w:styleId="142">
    <w:name w:val="Char Char Char Char"/>
    <w:basedOn w:val="19"/>
    <w:uiPriority w:val="0"/>
    <w:pPr>
      <w:adjustRightInd/>
      <w:spacing w:line="240" w:lineRule="auto"/>
      <w:jc w:val="both"/>
      <w:textAlignment w:val="auto"/>
    </w:pPr>
    <w:rPr>
      <w:rFonts w:ascii="Tahoma" w:hAnsi="Tahoma"/>
      <w:kern w:val="2"/>
      <w:szCs w:val="24"/>
    </w:rPr>
  </w:style>
  <w:style w:type="paragraph" w:customStyle="1" w:styleId="143">
    <w:name w:val="xl59"/>
    <w:basedOn w:val="1"/>
    <w:uiPriority w:val="0"/>
    <w:pPr>
      <w:widowControl/>
      <w:pBdr>
        <w:top w:val="dashed" w:color="auto" w:sz="4" w:space="0"/>
        <w:left w:val="single" w:color="auto" w:sz="4" w:space="0"/>
        <w:bottom w:val="single" w:color="auto" w:sz="8" w:space="0"/>
        <w:right w:val="single" w:color="auto" w:sz="4" w:space="0"/>
      </w:pBdr>
      <w:adjustRightInd/>
      <w:spacing w:before="100" w:beforeAutospacing="1" w:after="100" w:afterAutospacing="1" w:line="240" w:lineRule="auto"/>
      <w:jc w:val="center"/>
      <w:textAlignment w:val="auto"/>
    </w:pPr>
    <w:rPr>
      <w:rFonts w:ascii="宋体" w:hAnsi="宋体"/>
      <w:color w:val="000000"/>
      <w:sz w:val="20"/>
    </w:rPr>
  </w:style>
  <w:style w:type="paragraph" w:customStyle="1" w:styleId="144">
    <w:name w:val="默认段落字体 Para Char Char Char Char Char Char Char Char Char"/>
    <w:basedOn w:val="1"/>
    <w:uiPriority w:val="0"/>
    <w:pPr>
      <w:adjustRightInd/>
      <w:spacing w:line="240" w:lineRule="auto"/>
      <w:jc w:val="both"/>
      <w:textAlignment w:val="auto"/>
    </w:pPr>
    <w:rPr>
      <w:rFonts w:ascii="Tahoma" w:hAnsi="Tahoma"/>
      <w:kern w:val="2"/>
    </w:rPr>
  </w:style>
  <w:style w:type="paragraph" w:customStyle="1" w:styleId="145">
    <w:name w:val="Char Char Char Char Char Char Char"/>
    <w:basedOn w:val="19"/>
    <w:qFormat/>
    <w:uiPriority w:val="0"/>
    <w:pPr>
      <w:adjustRightInd/>
      <w:spacing w:line="240" w:lineRule="auto"/>
      <w:jc w:val="both"/>
      <w:textAlignment w:val="auto"/>
    </w:pPr>
    <w:rPr>
      <w:rFonts w:ascii="Tahoma" w:hAnsi="Tahoma"/>
      <w:kern w:val="2"/>
      <w:szCs w:val="24"/>
    </w:rPr>
  </w:style>
  <w:style w:type="paragraph" w:customStyle="1" w:styleId="146">
    <w:name w:val="2级列表"/>
    <w:basedOn w:val="1"/>
    <w:qFormat/>
    <w:uiPriority w:val="0"/>
    <w:pPr>
      <w:adjustRightInd/>
      <w:spacing w:beforeLines="50" w:line="240" w:lineRule="auto"/>
      <w:jc w:val="both"/>
      <w:textAlignment w:val="auto"/>
    </w:pPr>
    <w:rPr>
      <w:rFonts w:eastAsia="楷体_GB2312"/>
      <w:kern w:val="2"/>
      <w:szCs w:val="24"/>
    </w:rPr>
  </w:style>
  <w:style w:type="paragraph" w:customStyle="1" w:styleId="147">
    <w:name w:val="Char1 Char Char Char"/>
    <w:basedOn w:val="1"/>
    <w:qFormat/>
    <w:uiPriority w:val="0"/>
    <w:pPr>
      <w:adjustRightInd/>
      <w:spacing w:line="240" w:lineRule="auto"/>
      <w:jc w:val="both"/>
      <w:textAlignment w:val="auto"/>
    </w:pPr>
    <w:rPr>
      <w:rFonts w:ascii="Tahoma" w:hAnsi="Tahoma"/>
      <w:kern w:val="2"/>
    </w:rPr>
  </w:style>
  <w:style w:type="paragraph" w:customStyle="1" w:styleId="148">
    <w:name w:val="xl32"/>
    <w:basedOn w:val="1"/>
    <w:qFormat/>
    <w:uiPriority w:val="0"/>
    <w:pPr>
      <w:widowControl/>
      <w:pBdr>
        <w:top w:val="single" w:color="auto" w:sz="4" w:space="0"/>
        <w:left w:val="single" w:color="auto" w:sz="4" w:space="0"/>
        <w:bottom w:val="dashed" w:color="auto" w:sz="4" w:space="0"/>
        <w:right w:val="single" w:color="auto" w:sz="8" w:space="0"/>
      </w:pBdr>
      <w:adjustRightInd/>
      <w:spacing w:before="100" w:beforeAutospacing="1" w:after="100" w:afterAutospacing="1" w:line="240" w:lineRule="auto"/>
      <w:textAlignment w:val="auto"/>
    </w:pPr>
    <w:rPr>
      <w:rFonts w:ascii="宋体" w:hAnsi="宋体"/>
      <w:color w:val="000000"/>
      <w:sz w:val="20"/>
    </w:rPr>
  </w:style>
  <w:style w:type="paragraph" w:customStyle="1" w:styleId="149">
    <w:name w:val="Char Char Char Char1"/>
    <w:basedOn w:val="1"/>
    <w:qFormat/>
    <w:uiPriority w:val="0"/>
    <w:pPr>
      <w:adjustRightInd/>
      <w:spacing w:line="240" w:lineRule="auto"/>
      <w:jc w:val="both"/>
      <w:textAlignment w:val="auto"/>
    </w:pPr>
    <w:rPr>
      <w:rFonts w:ascii="Tahoma" w:hAnsi="Tahoma"/>
      <w:kern w:val="2"/>
    </w:rPr>
  </w:style>
  <w:style w:type="paragraph" w:customStyle="1" w:styleId="150">
    <w:name w:val="样式3"/>
    <w:basedOn w:val="3"/>
    <w:qFormat/>
    <w:uiPriority w:val="0"/>
    <w:pPr>
      <w:numPr>
        <w:numId w:val="8"/>
      </w:numPr>
      <w:tabs>
        <w:tab w:val="left" w:pos="1200"/>
      </w:tabs>
      <w:spacing w:beforeLines="50" w:afterLines="50" w:line="240" w:lineRule="auto"/>
    </w:pPr>
    <w:rPr>
      <w:rFonts w:ascii="宋体" w:hAnsi="宋体" w:eastAsia="宋体"/>
      <w:b w:val="0"/>
      <w:sz w:val="21"/>
      <w:szCs w:val="21"/>
    </w:rPr>
  </w:style>
  <w:style w:type="paragraph" w:customStyle="1" w:styleId="151">
    <w:name w:val="样式6"/>
    <w:basedOn w:val="1"/>
    <w:qFormat/>
    <w:uiPriority w:val="0"/>
    <w:pPr>
      <w:numPr>
        <w:ilvl w:val="0"/>
        <w:numId w:val="9"/>
      </w:numPr>
    </w:pPr>
  </w:style>
  <w:style w:type="paragraph" w:customStyle="1" w:styleId="152">
    <w:name w:val="xl36"/>
    <w:basedOn w:val="1"/>
    <w:qFormat/>
    <w:uiPriority w:val="0"/>
    <w:pPr>
      <w:widowControl/>
      <w:pBdr>
        <w:top w:val="dashed"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auto"/>
    </w:pPr>
    <w:rPr>
      <w:rFonts w:ascii="宋体" w:hAnsi="宋体"/>
      <w:color w:val="000000"/>
      <w:sz w:val="20"/>
    </w:rPr>
  </w:style>
  <w:style w:type="paragraph" w:customStyle="1" w:styleId="153">
    <w:name w:val="标一"/>
    <w:basedOn w:val="2"/>
    <w:qFormat/>
    <w:uiPriority w:val="0"/>
    <w:pPr>
      <w:numPr>
        <w:numId w:val="0"/>
      </w:numPr>
      <w:adjustRightInd/>
      <w:snapToGrid w:val="0"/>
      <w:spacing w:before="0" w:after="0" w:line="420" w:lineRule="exact"/>
      <w:jc w:val="both"/>
      <w:textAlignment w:val="auto"/>
    </w:pPr>
    <w:rPr>
      <w:rFonts w:ascii="宋体" w:hAnsi="宋体"/>
      <w:b w:val="0"/>
      <w:bCs w:val="0"/>
      <w:snapToGrid w:val="0"/>
      <w:kern w:val="0"/>
      <w:sz w:val="24"/>
      <w:szCs w:val="20"/>
    </w:rPr>
  </w:style>
  <w:style w:type="paragraph" w:customStyle="1" w:styleId="154">
    <w:name w:val="Char Char1"/>
    <w:basedOn w:val="1"/>
    <w:qFormat/>
    <w:uiPriority w:val="0"/>
    <w:pPr>
      <w:widowControl/>
      <w:adjustRightInd/>
      <w:spacing w:after="160" w:line="240" w:lineRule="exact"/>
      <w:textAlignment w:val="auto"/>
    </w:pPr>
    <w:rPr>
      <w:rFonts w:ascii="Verdana" w:hAnsi="Verdana"/>
      <w:sz w:val="20"/>
      <w:lang w:eastAsia="en-US"/>
    </w:rPr>
  </w:style>
  <w:style w:type="paragraph" w:customStyle="1" w:styleId="155">
    <w:name w:val="xl44"/>
    <w:basedOn w:val="1"/>
    <w:qFormat/>
    <w:uiPriority w:val="0"/>
    <w:pPr>
      <w:widowControl/>
      <w:pBdr>
        <w:top w:val="dashed"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auto"/>
    </w:pPr>
    <w:rPr>
      <w:rFonts w:ascii="宋体" w:hAnsi="宋体"/>
      <w:color w:val="000000"/>
      <w:sz w:val="20"/>
    </w:rPr>
  </w:style>
  <w:style w:type="paragraph" w:customStyle="1" w:styleId="156">
    <w:name w:val="xl34"/>
    <w:basedOn w:val="1"/>
    <w:qFormat/>
    <w:uiPriority w:val="0"/>
    <w:pPr>
      <w:widowControl/>
      <w:pBdr>
        <w:top w:val="dashed" w:color="auto" w:sz="4" w:space="0"/>
        <w:left w:val="single" w:color="auto" w:sz="4" w:space="0"/>
        <w:bottom w:val="dashed" w:color="auto" w:sz="4" w:space="0"/>
        <w:right w:val="single" w:color="auto" w:sz="8" w:space="0"/>
      </w:pBdr>
      <w:adjustRightInd/>
      <w:spacing w:before="100" w:beforeAutospacing="1" w:after="100" w:afterAutospacing="1" w:line="240" w:lineRule="auto"/>
      <w:textAlignment w:val="auto"/>
    </w:pPr>
    <w:rPr>
      <w:rFonts w:ascii="宋体" w:hAnsi="宋体"/>
      <w:color w:val="000000"/>
      <w:sz w:val="20"/>
    </w:rPr>
  </w:style>
  <w:style w:type="paragraph" w:customStyle="1" w:styleId="157">
    <w:name w:val="xl62"/>
    <w:basedOn w:val="1"/>
    <w:qFormat/>
    <w:uiPriority w:val="0"/>
    <w:pPr>
      <w:widowControl/>
      <w:pBdr>
        <w:left w:val="single" w:color="auto" w:sz="8" w:space="0"/>
        <w:bottom w:val="single" w:color="auto" w:sz="4" w:space="0"/>
        <w:right w:val="single" w:color="auto" w:sz="4" w:space="0"/>
      </w:pBdr>
      <w:adjustRightInd/>
      <w:spacing w:before="100" w:beforeAutospacing="1" w:after="100" w:afterAutospacing="1" w:line="240" w:lineRule="auto"/>
      <w:jc w:val="center"/>
      <w:textAlignment w:val="auto"/>
    </w:pPr>
    <w:rPr>
      <w:rFonts w:ascii="宋体" w:hAnsi="宋体"/>
      <w:b/>
      <w:bCs/>
      <w:color w:val="000000"/>
      <w:sz w:val="20"/>
    </w:rPr>
  </w:style>
  <w:style w:type="paragraph" w:customStyle="1" w:styleId="158">
    <w:name w:val="正文00"/>
    <w:basedOn w:val="18"/>
    <w:qFormat/>
    <w:uiPriority w:val="0"/>
    <w:pPr>
      <w:tabs>
        <w:tab w:val="left" w:pos="0"/>
      </w:tabs>
      <w:adjustRightInd/>
      <w:spacing w:line="360" w:lineRule="auto"/>
      <w:ind w:firstLine="480"/>
      <w:jc w:val="both"/>
      <w:textAlignment w:val="auto"/>
    </w:pPr>
    <w:rPr>
      <w:rFonts w:ascii="宋体" w:hAnsi="宋体"/>
      <w:kern w:val="28"/>
      <w:szCs w:val="24"/>
    </w:rPr>
  </w:style>
  <w:style w:type="paragraph" w:customStyle="1" w:styleId="159">
    <w:name w:val="font5"/>
    <w:basedOn w:val="1"/>
    <w:qFormat/>
    <w:uiPriority w:val="0"/>
    <w:pPr>
      <w:widowControl/>
      <w:adjustRightInd/>
      <w:spacing w:before="100" w:beforeAutospacing="1" w:after="100" w:afterAutospacing="1" w:line="240" w:lineRule="auto"/>
      <w:textAlignment w:val="auto"/>
    </w:pPr>
    <w:rPr>
      <w:rFonts w:hint="eastAsia" w:ascii="宋体" w:hAnsi="宋体"/>
      <w:sz w:val="18"/>
      <w:szCs w:val="18"/>
    </w:rPr>
  </w:style>
  <w:style w:type="paragraph" w:customStyle="1" w:styleId="160">
    <w:name w:val="列项——（一级）"/>
    <w:qFormat/>
    <w:uiPriority w:val="0"/>
    <w:pPr>
      <w:widowControl w:val="0"/>
      <w:numPr>
        <w:ilvl w:val="0"/>
        <w:numId w:val="10"/>
      </w:numPr>
      <w:jc w:val="both"/>
    </w:pPr>
    <w:rPr>
      <w:rFonts w:ascii="宋体" w:hAnsi="Times New Roman" w:eastAsia="宋体" w:cs="Times New Roman"/>
      <w:sz w:val="21"/>
      <w:lang w:val="en-US" w:eastAsia="zh-CN" w:bidi="ar-SA"/>
    </w:rPr>
  </w:style>
  <w:style w:type="paragraph" w:customStyle="1" w:styleId="161">
    <w:name w:val="列项●（二级）"/>
    <w:qFormat/>
    <w:uiPriority w:val="0"/>
    <w:pPr>
      <w:numPr>
        <w:ilvl w:val="1"/>
        <w:numId w:val="10"/>
      </w:numPr>
      <w:tabs>
        <w:tab w:val="left" w:pos="840"/>
      </w:tabs>
      <w:jc w:val="both"/>
    </w:pPr>
    <w:rPr>
      <w:rFonts w:ascii="宋体" w:hAnsi="Times New Roman" w:eastAsia="宋体" w:cs="Times New Roman"/>
      <w:sz w:val="21"/>
      <w:lang w:val="en-US" w:eastAsia="zh-CN" w:bidi="ar-SA"/>
    </w:rPr>
  </w:style>
  <w:style w:type="paragraph" w:customStyle="1" w:styleId="162">
    <w:name w:val="列项◆（三级）"/>
    <w:basedOn w:val="1"/>
    <w:qFormat/>
    <w:uiPriority w:val="0"/>
    <w:pPr>
      <w:numPr>
        <w:ilvl w:val="2"/>
        <w:numId w:val="10"/>
      </w:numPr>
      <w:adjustRightInd/>
      <w:spacing w:line="240" w:lineRule="auto"/>
      <w:jc w:val="both"/>
      <w:textAlignment w:val="auto"/>
    </w:pPr>
    <w:rPr>
      <w:rFonts w:ascii="宋体"/>
      <w:kern w:val="2"/>
      <w:sz w:val="21"/>
      <w:szCs w:val="21"/>
    </w:rPr>
  </w:style>
  <w:style w:type="character" w:customStyle="1" w:styleId="163">
    <w:name w:val="font51"/>
    <w:qFormat/>
    <w:uiPriority w:val="0"/>
    <w:rPr>
      <w:color w:val="auto"/>
      <w:szCs w:val="21"/>
      <w:u w:val="none"/>
    </w:rPr>
  </w:style>
  <w:style w:type="character" w:customStyle="1" w:styleId="164">
    <w:name w:val="font61"/>
    <w:qFormat/>
    <w:uiPriority w:val="0"/>
    <w:rPr>
      <w:color w:val="auto"/>
      <w:szCs w:val="21"/>
      <w:u w:val="none"/>
    </w:rPr>
  </w:style>
  <w:style w:type="character" w:customStyle="1" w:styleId="165">
    <w:name w:val="font21"/>
    <w:qFormat/>
    <w:uiPriority w:val="0"/>
    <w:rPr>
      <w:color w:val="000000"/>
      <w:szCs w:val="21"/>
      <w:u w:val="none"/>
    </w:rPr>
  </w:style>
  <w:style w:type="character" w:customStyle="1" w:styleId="166">
    <w:name w:val="font11"/>
    <w:qFormat/>
    <w:uiPriority w:val="0"/>
    <w:rPr>
      <w:color w:val="000000"/>
      <w:szCs w:val="21"/>
      <w:u w:val="none"/>
    </w:rPr>
  </w:style>
  <w:style w:type="paragraph" w:customStyle="1" w:styleId="167">
    <w:name w:val="段"/>
    <w:link w:val="16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68">
    <w:name w:val="段 Char"/>
    <w:link w:val="167"/>
    <w:qFormat/>
    <w:uiPriority w:val="0"/>
    <w:rPr>
      <w:rFonts w:ascii="宋体"/>
      <w:sz w:val="21"/>
      <w:lang w:bidi="ar-SA"/>
    </w:rPr>
  </w:style>
  <w:style w:type="paragraph" w:customStyle="1" w:styleId="169">
    <w:name w:val="一级条标题"/>
    <w:next w:val="167"/>
    <w:qFormat/>
    <w:uiPriority w:val="0"/>
    <w:pPr>
      <w:numPr>
        <w:ilvl w:val="1"/>
        <w:numId w:val="11"/>
      </w:numPr>
      <w:spacing w:beforeLines="50" w:afterLines="50"/>
      <w:outlineLvl w:val="2"/>
    </w:pPr>
    <w:rPr>
      <w:rFonts w:ascii="黑体" w:hAnsi="Times New Roman" w:eastAsia="黑体" w:cs="Times New Roman"/>
      <w:sz w:val="21"/>
      <w:szCs w:val="21"/>
      <w:lang w:val="en-US" w:eastAsia="zh-CN" w:bidi="ar-SA"/>
    </w:rPr>
  </w:style>
  <w:style w:type="paragraph" w:customStyle="1" w:styleId="170">
    <w:name w:val="章标题"/>
    <w:next w:val="167"/>
    <w:qFormat/>
    <w:uiPriority w:val="0"/>
    <w:pPr>
      <w:numPr>
        <w:ilvl w:val="0"/>
        <w:numId w:val="11"/>
      </w:numPr>
      <w:spacing w:beforeLines="100" w:afterLines="100"/>
      <w:jc w:val="both"/>
      <w:outlineLvl w:val="1"/>
    </w:pPr>
    <w:rPr>
      <w:rFonts w:ascii="黑体" w:hAnsi="Times New Roman" w:eastAsia="黑体" w:cs="Times New Roman"/>
      <w:sz w:val="21"/>
      <w:lang w:val="en-US" w:eastAsia="zh-CN" w:bidi="ar-SA"/>
    </w:rPr>
  </w:style>
  <w:style w:type="paragraph" w:customStyle="1" w:styleId="171">
    <w:name w:val="二级条标题"/>
    <w:basedOn w:val="169"/>
    <w:next w:val="167"/>
    <w:qFormat/>
    <w:uiPriority w:val="0"/>
    <w:pPr>
      <w:numPr>
        <w:ilvl w:val="2"/>
      </w:numPr>
      <w:spacing w:before="50" w:after="50"/>
      <w:outlineLvl w:val="3"/>
    </w:pPr>
  </w:style>
  <w:style w:type="paragraph" w:customStyle="1" w:styleId="172">
    <w:name w:val="四级条标题"/>
    <w:basedOn w:val="1"/>
    <w:next w:val="167"/>
    <w:qFormat/>
    <w:uiPriority w:val="0"/>
    <w:pPr>
      <w:widowControl/>
      <w:numPr>
        <w:ilvl w:val="4"/>
        <w:numId w:val="11"/>
      </w:numPr>
      <w:adjustRightInd/>
      <w:spacing w:beforeLines="50" w:afterLines="50" w:line="240" w:lineRule="auto"/>
      <w:textAlignment w:val="auto"/>
      <w:outlineLvl w:val="5"/>
    </w:pPr>
    <w:rPr>
      <w:rFonts w:ascii="黑体" w:eastAsia="黑体"/>
      <w:sz w:val="21"/>
      <w:szCs w:val="21"/>
    </w:rPr>
  </w:style>
  <w:style w:type="paragraph" w:customStyle="1" w:styleId="173">
    <w:name w:val="五级条标题"/>
    <w:basedOn w:val="172"/>
    <w:next w:val="167"/>
    <w:qFormat/>
    <w:uiPriority w:val="0"/>
    <w:pPr>
      <w:numPr>
        <w:ilvl w:val="5"/>
      </w:numPr>
      <w:outlineLvl w:val="6"/>
    </w:pPr>
  </w:style>
  <w:style w:type="paragraph" w:customStyle="1" w:styleId="174">
    <w:name w:val="注："/>
    <w:next w:val="167"/>
    <w:qFormat/>
    <w:uiPriority w:val="0"/>
    <w:pPr>
      <w:widowControl w:val="0"/>
      <w:numPr>
        <w:ilvl w:val="0"/>
        <w:numId w:val="12"/>
      </w:numPr>
      <w:autoSpaceDE w:val="0"/>
      <w:autoSpaceDN w:val="0"/>
      <w:jc w:val="both"/>
    </w:pPr>
    <w:rPr>
      <w:rFonts w:ascii="宋体" w:hAnsi="Times New Roman" w:eastAsia="宋体" w:cs="Times New Roman"/>
      <w:sz w:val="18"/>
      <w:szCs w:val="18"/>
      <w:lang w:val="en-US" w:eastAsia="zh-CN" w:bidi="ar-SA"/>
    </w:rPr>
  </w:style>
  <w:style w:type="paragraph" w:customStyle="1" w:styleId="175">
    <w:name w:val="二级无"/>
    <w:basedOn w:val="171"/>
    <w:qFormat/>
    <w:uiPriority w:val="0"/>
    <w:pPr>
      <w:spacing w:beforeLines="0" w:afterLines="0"/>
    </w:pPr>
    <w:rPr>
      <w:rFonts w:ascii="宋体" w:eastAsia="宋体"/>
    </w:rPr>
  </w:style>
  <w:style w:type="paragraph" w:customStyle="1" w:styleId="176">
    <w:name w:val="参考文献"/>
    <w:basedOn w:val="1"/>
    <w:next w:val="167"/>
    <w:uiPriority w:val="0"/>
    <w:pPr>
      <w:keepNext/>
      <w:pageBreakBefore/>
      <w:widowControl/>
      <w:shd w:val="clear" w:color="FFFFFF" w:fill="FFFFFF"/>
      <w:adjustRightInd/>
      <w:spacing w:before="640" w:after="200" w:line="240" w:lineRule="auto"/>
      <w:jc w:val="center"/>
      <w:textAlignment w:val="auto"/>
      <w:outlineLvl w:val="0"/>
    </w:pPr>
    <w:rPr>
      <w:rFonts w:ascii="黑体" w:eastAsia="黑体"/>
      <w:sz w:val="21"/>
    </w:rPr>
  </w:style>
  <w:style w:type="paragraph" w:customStyle="1" w:styleId="177">
    <w:name w:val="前言、引言标题"/>
    <w:next w:val="167"/>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78">
    <w:name w:val="MTDisplayEquation"/>
    <w:basedOn w:val="16"/>
    <w:next w:val="1"/>
    <w:link w:val="179"/>
    <w:qFormat/>
    <w:uiPriority w:val="0"/>
    <w:pPr>
      <w:tabs>
        <w:tab w:val="center" w:pos="4200"/>
        <w:tab w:val="right" w:pos="8300"/>
      </w:tabs>
      <w:adjustRightInd/>
      <w:spacing w:after="0" w:line="275" w:lineRule="auto"/>
      <w:ind w:left="117" w:firstLine="420"/>
      <w:textAlignment w:val="auto"/>
    </w:pPr>
    <w:rPr>
      <w:rFonts w:ascii="宋体" w:hAnsi="宋体"/>
      <w:spacing w:val="-1"/>
      <w:sz w:val="21"/>
      <w:szCs w:val="21"/>
      <w:lang w:eastAsia="en-US"/>
    </w:rPr>
  </w:style>
  <w:style w:type="character" w:customStyle="1" w:styleId="179">
    <w:name w:val="MTDisplayEquation Char"/>
    <w:link w:val="178"/>
    <w:uiPriority w:val="0"/>
    <w:rPr>
      <w:rFonts w:ascii="宋体" w:hAnsi="宋体"/>
      <w:spacing w:val="-1"/>
      <w:sz w:val="21"/>
      <w:szCs w:val="21"/>
      <w:lang w:eastAsia="en-US"/>
    </w:rPr>
  </w:style>
  <w:style w:type="character" w:customStyle="1" w:styleId="180">
    <w:name w:val="页眉 Char"/>
    <w:link w:val="31"/>
    <w:qFormat/>
    <w:uiPriority w:val="0"/>
    <w:rPr>
      <w:sz w:val="18"/>
    </w:rPr>
  </w:style>
  <w:style w:type="character" w:customStyle="1" w:styleId="181">
    <w:name w:val="标题 1 Char"/>
    <w:link w:val="2"/>
    <w:qFormat/>
    <w:uiPriority w:val="0"/>
    <w:rPr>
      <w:b/>
      <w:bCs/>
      <w:kern w:val="44"/>
      <w:sz w:val="44"/>
      <w:szCs w:val="44"/>
    </w:rPr>
  </w:style>
  <w:style w:type="character" w:customStyle="1" w:styleId="182">
    <w:name w:val="标题 2 Char"/>
    <w:link w:val="3"/>
    <w:uiPriority w:val="0"/>
    <w:rPr>
      <w:rFonts w:ascii="Arial" w:hAnsi="Arial" w:eastAsia="黑体"/>
      <w:b/>
      <w:bCs/>
      <w:sz w:val="32"/>
      <w:szCs w:val="32"/>
    </w:rPr>
  </w:style>
  <w:style w:type="character" w:customStyle="1" w:styleId="183">
    <w:name w:val="标题 3 Char"/>
    <w:link w:val="4"/>
    <w:qFormat/>
    <w:uiPriority w:val="0"/>
    <w:rPr>
      <w:b/>
      <w:bCs/>
      <w:sz w:val="32"/>
      <w:szCs w:val="32"/>
    </w:rPr>
  </w:style>
  <w:style w:type="character" w:customStyle="1" w:styleId="184">
    <w:name w:val="标题 4 Char"/>
    <w:link w:val="5"/>
    <w:uiPriority w:val="0"/>
    <w:rPr>
      <w:rFonts w:ascii="Arial" w:hAnsi="Arial" w:eastAsia="黑体"/>
      <w:b/>
      <w:bCs/>
      <w:sz w:val="28"/>
      <w:szCs w:val="28"/>
    </w:rPr>
  </w:style>
  <w:style w:type="character" w:customStyle="1" w:styleId="185">
    <w:name w:val="标题 5 Char"/>
    <w:link w:val="6"/>
    <w:qFormat/>
    <w:uiPriority w:val="0"/>
    <w:rPr>
      <w:b/>
      <w:bCs/>
      <w:sz w:val="28"/>
      <w:szCs w:val="28"/>
    </w:rPr>
  </w:style>
  <w:style w:type="character" w:customStyle="1" w:styleId="186">
    <w:name w:val="标题 6 Char"/>
    <w:link w:val="7"/>
    <w:uiPriority w:val="0"/>
    <w:rPr>
      <w:rFonts w:ascii="Arial" w:hAnsi="Arial" w:eastAsia="黑体"/>
      <w:b/>
      <w:bCs/>
      <w:sz w:val="24"/>
      <w:szCs w:val="24"/>
    </w:rPr>
  </w:style>
  <w:style w:type="character" w:customStyle="1" w:styleId="187">
    <w:name w:val="标题 7 Char"/>
    <w:link w:val="8"/>
    <w:qFormat/>
    <w:uiPriority w:val="0"/>
    <w:rPr>
      <w:b/>
      <w:bCs/>
      <w:sz w:val="24"/>
      <w:szCs w:val="24"/>
    </w:rPr>
  </w:style>
  <w:style w:type="character" w:customStyle="1" w:styleId="188">
    <w:name w:val="标题 8 Char"/>
    <w:link w:val="9"/>
    <w:uiPriority w:val="0"/>
    <w:rPr>
      <w:rFonts w:ascii="Arial" w:hAnsi="Arial" w:eastAsia="黑体"/>
      <w:sz w:val="24"/>
      <w:szCs w:val="24"/>
    </w:rPr>
  </w:style>
  <w:style w:type="character" w:customStyle="1" w:styleId="189">
    <w:name w:val="标题 9 Char"/>
    <w:link w:val="10"/>
    <w:qFormat/>
    <w:uiPriority w:val="0"/>
    <w:rPr>
      <w:rFonts w:ascii="Arial" w:hAnsi="Arial" w:eastAsia="黑体"/>
      <w:sz w:val="21"/>
      <w:szCs w:val="21"/>
    </w:rPr>
  </w:style>
  <w:style w:type="character" w:customStyle="1" w:styleId="190">
    <w:name w:val="Char Char21"/>
    <w:uiPriority w:val="0"/>
    <w:rPr>
      <w:rFonts w:ascii="宋体" w:hAnsi="Courier New" w:eastAsia="宋体"/>
      <w:kern w:val="2"/>
      <w:sz w:val="21"/>
      <w:lang w:val="en-US" w:eastAsia="zh-CN" w:bidi="ar-SA"/>
    </w:rPr>
  </w:style>
  <w:style w:type="paragraph" w:customStyle="1" w:styleId="191">
    <w:name w:val="Char11"/>
    <w:basedOn w:val="1"/>
    <w:qFormat/>
    <w:uiPriority w:val="0"/>
    <w:pPr>
      <w:tabs>
        <w:tab w:val="left" w:pos="840"/>
      </w:tabs>
      <w:adjustRightInd/>
      <w:spacing w:line="240" w:lineRule="auto"/>
      <w:ind w:left="840" w:hanging="420"/>
      <w:jc w:val="both"/>
      <w:textAlignment w:val="auto"/>
    </w:pPr>
    <w:rPr>
      <w:kern w:val="2"/>
      <w:szCs w:val="24"/>
    </w:rPr>
  </w:style>
  <w:style w:type="paragraph" w:customStyle="1" w:styleId="192">
    <w:name w:val="列出段落11"/>
    <w:basedOn w:val="1"/>
    <w:uiPriority w:val="0"/>
    <w:pPr>
      <w:adjustRightInd/>
      <w:spacing w:line="240" w:lineRule="auto"/>
      <w:ind w:firstLine="420" w:firstLineChars="200"/>
      <w:jc w:val="both"/>
      <w:textAlignment w:val="auto"/>
    </w:pPr>
    <w:rPr>
      <w:rFonts w:ascii="Calibri" w:hAnsi="Calibri"/>
      <w:kern w:val="2"/>
      <w:sz w:val="21"/>
      <w:szCs w:val="22"/>
    </w:rPr>
  </w:style>
  <w:style w:type="paragraph" w:customStyle="1" w:styleId="193">
    <w:name w:val="Char Char Char1"/>
    <w:basedOn w:val="1"/>
    <w:uiPriority w:val="0"/>
    <w:pPr>
      <w:adjustRightInd/>
      <w:spacing w:line="240" w:lineRule="auto"/>
      <w:jc w:val="both"/>
      <w:textAlignment w:val="auto"/>
    </w:pPr>
    <w:rPr>
      <w:rFonts w:ascii="Tahoma" w:hAnsi="Tahoma"/>
      <w:kern w:val="2"/>
    </w:rPr>
  </w:style>
  <w:style w:type="character" w:customStyle="1" w:styleId="194">
    <w:name w:val="正文文本 Char"/>
    <w:link w:val="16"/>
    <w:qFormat/>
    <w:uiPriority w:val="0"/>
    <w:rPr>
      <w:sz w:val="24"/>
    </w:rPr>
  </w:style>
  <w:style w:type="paragraph" w:customStyle="1" w:styleId="195">
    <w:name w:val="正文文本缩进 311"/>
    <w:basedOn w:val="1"/>
    <w:uiPriority w:val="0"/>
    <w:pPr>
      <w:widowControl/>
      <w:spacing w:before="100" w:after="100" w:line="240" w:lineRule="auto"/>
    </w:pPr>
    <w:rPr>
      <w:rFonts w:ascii="宋体" w:hAnsi="宋体"/>
    </w:rPr>
  </w:style>
  <w:style w:type="character" w:customStyle="1" w:styleId="196">
    <w:name w:val="正文文本缩进 2 Char"/>
    <w:link w:val="27"/>
    <w:uiPriority w:val="0"/>
    <w:rPr>
      <w:sz w:val="24"/>
    </w:rPr>
  </w:style>
  <w:style w:type="character" w:customStyle="1" w:styleId="197">
    <w:name w:val="正文文本 2 Char"/>
    <w:link w:val="38"/>
    <w:qFormat/>
    <w:uiPriority w:val="0"/>
    <w:rPr>
      <w:sz w:val="24"/>
    </w:rPr>
  </w:style>
  <w:style w:type="character" w:customStyle="1" w:styleId="198">
    <w:name w:val="正文文本缩进 Char"/>
    <w:link w:val="21"/>
    <w:uiPriority w:val="0"/>
    <w:rPr>
      <w:sz w:val="24"/>
    </w:rPr>
  </w:style>
  <w:style w:type="character" w:customStyle="1" w:styleId="199">
    <w:name w:val="批注文字 Char"/>
    <w:link w:val="13"/>
    <w:qFormat/>
    <w:uiPriority w:val="0"/>
    <w:rPr>
      <w:sz w:val="24"/>
    </w:rPr>
  </w:style>
  <w:style w:type="character" w:customStyle="1" w:styleId="200">
    <w:name w:val="批注主题 Char"/>
    <w:link w:val="12"/>
    <w:uiPriority w:val="0"/>
    <w:rPr>
      <w:b/>
      <w:bCs/>
      <w:sz w:val="24"/>
    </w:rPr>
  </w:style>
  <w:style w:type="character" w:customStyle="1" w:styleId="201">
    <w:name w:val="正文文本缩进 3 Char"/>
    <w:link w:val="35"/>
    <w:uiPriority w:val="0"/>
    <w:rPr>
      <w:sz w:val="16"/>
      <w:szCs w:val="16"/>
    </w:rPr>
  </w:style>
  <w:style w:type="character" w:customStyle="1" w:styleId="202">
    <w:name w:val="标题 Char"/>
    <w:link w:val="40"/>
    <w:uiPriority w:val="0"/>
    <w:rPr>
      <w:rFonts w:cs="Arial"/>
      <w:b/>
      <w:bCs/>
      <w:kern w:val="2"/>
      <w:sz w:val="28"/>
      <w:szCs w:val="32"/>
    </w:rPr>
  </w:style>
  <w:style w:type="character" w:customStyle="1" w:styleId="203">
    <w:name w:val="注释标题 Char"/>
    <w:link w:val="17"/>
    <w:uiPriority w:val="0"/>
    <w:rPr>
      <w:sz w:val="24"/>
    </w:rPr>
  </w:style>
  <w:style w:type="character" w:customStyle="1" w:styleId="204">
    <w:name w:val="纯文本 Char2"/>
    <w:uiPriority w:val="0"/>
    <w:rPr>
      <w:rFonts w:ascii="宋体" w:hAnsi="Courier New" w:cs="Courier New"/>
      <w:sz w:val="21"/>
      <w:szCs w:val="21"/>
    </w:rPr>
  </w:style>
  <w:style w:type="character" w:customStyle="1" w:styleId="205">
    <w:name w:val="正文首行缩进 Char"/>
    <w:link w:val="15"/>
    <w:qFormat/>
    <w:uiPriority w:val="0"/>
    <w:rPr>
      <w:kern w:val="2"/>
      <w:sz w:val="21"/>
    </w:rPr>
  </w:style>
  <w:style w:type="character" w:customStyle="1" w:styleId="206">
    <w:name w:val="日期 Char"/>
    <w:link w:val="26"/>
    <w:uiPriority w:val="0"/>
    <w:rPr>
      <w:sz w:val="24"/>
    </w:rPr>
  </w:style>
  <w:style w:type="character" w:customStyle="1" w:styleId="207">
    <w:name w:val="文档结构图 Char"/>
    <w:link w:val="19"/>
    <w:qFormat/>
    <w:uiPriority w:val="0"/>
    <w:rPr>
      <w:sz w:val="24"/>
      <w:shd w:val="clear" w:color="auto" w:fill="000080"/>
    </w:rPr>
  </w:style>
  <w:style w:type="character" w:customStyle="1" w:styleId="208">
    <w:name w:val="批注框文本 Char"/>
    <w:link w:val="29"/>
    <w:qFormat/>
    <w:uiPriority w:val="0"/>
    <w:rPr>
      <w:sz w:val="18"/>
      <w:szCs w:val="18"/>
    </w:rPr>
  </w:style>
  <w:style w:type="character" w:customStyle="1" w:styleId="209">
    <w:name w:val="正文文本 3 Char"/>
    <w:link w:val="20"/>
    <w:uiPriority w:val="0"/>
    <w:rPr>
      <w:sz w:val="16"/>
      <w:szCs w:val="16"/>
    </w:rPr>
  </w:style>
  <w:style w:type="paragraph" w:customStyle="1" w:styleId="210">
    <w:name w:val="Char Char Char Char2"/>
    <w:basedOn w:val="19"/>
    <w:qFormat/>
    <w:uiPriority w:val="0"/>
    <w:pPr>
      <w:adjustRightInd/>
      <w:spacing w:line="240" w:lineRule="auto"/>
      <w:jc w:val="both"/>
      <w:textAlignment w:val="auto"/>
    </w:pPr>
    <w:rPr>
      <w:rFonts w:ascii="Tahoma" w:hAnsi="Tahoma"/>
      <w:kern w:val="2"/>
      <w:szCs w:val="24"/>
    </w:rPr>
  </w:style>
  <w:style w:type="paragraph" w:customStyle="1" w:styleId="211">
    <w:name w:val="Char Char Char Char Char Char Char1"/>
    <w:basedOn w:val="19"/>
    <w:qFormat/>
    <w:uiPriority w:val="0"/>
    <w:pPr>
      <w:adjustRightInd/>
      <w:spacing w:line="240" w:lineRule="auto"/>
      <w:jc w:val="both"/>
      <w:textAlignment w:val="auto"/>
    </w:pPr>
    <w:rPr>
      <w:rFonts w:ascii="Tahoma" w:hAnsi="Tahoma"/>
      <w:kern w:val="2"/>
      <w:szCs w:val="24"/>
    </w:rPr>
  </w:style>
  <w:style w:type="paragraph" w:customStyle="1" w:styleId="212">
    <w:name w:val="Char1 Char Char Char1"/>
    <w:basedOn w:val="1"/>
    <w:uiPriority w:val="0"/>
    <w:pPr>
      <w:adjustRightInd/>
      <w:spacing w:line="240" w:lineRule="auto"/>
      <w:jc w:val="both"/>
      <w:textAlignment w:val="auto"/>
    </w:pPr>
    <w:rPr>
      <w:rFonts w:ascii="Tahoma" w:hAnsi="Tahoma"/>
      <w:kern w:val="2"/>
    </w:rPr>
  </w:style>
  <w:style w:type="paragraph" w:customStyle="1" w:styleId="213">
    <w:name w:val="Char Char Char Char11"/>
    <w:basedOn w:val="1"/>
    <w:qFormat/>
    <w:uiPriority w:val="0"/>
    <w:pPr>
      <w:adjustRightInd/>
      <w:spacing w:line="240" w:lineRule="auto"/>
      <w:jc w:val="both"/>
      <w:textAlignment w:val="auto"/>
    </w:pPr>
    <w:rPr>
      <w:rFonts w:ascii="Tahoma" w:hAnsi="Tahoma"/>
      <w:kern w:val="2"/>
    </w:rPr>
  </w:style>
  <w:style w:type="paragraph" w:customStyle="1" w:styleId="214">
    <w:name w:val="Char Char11"/>
    <w:basedOn w:val="1"/>
    <w:qFormat/>
    <w:uiPriority w:val="0"/>
    <w:pPr>
      <w:widowControl/>
      <w:adjustRightInd/>
      <w:spacing w:after="160" w:line="240" w:lineRule="exact"/>
      <w:textAlignment w:val="auto"/>
    </w:pPr>
    <w:rPr>
      <w:rFonts w:ascii="Verdana" w:hAnsi="Verdana"/>
      <w:sz w:val="20"/>
      <w:lang w:eastAsia="en-US"/>
    </w:rPr>
  </w:style>
  <w:style w:type="paragraph" w:customStyle="1" w:styleId="215">
    <w:name w:val="Char"/>
    <w:basedOn w:val="1"/>
    <w:uiPriority w:val="0"/>
    <w:pPr>
      <w:adjustRightInd/>
      <w:spacing w:line="240" w:lineRule="auto"/>
      <w:jc w:val="both"/>
      <w:textAlignment w:val="auto"/>
    </w:pPr>
    <w:rPr>
      <w:rFonts w:ascii="Tahoma" w:hAnsi="Tahoma"/>
      <w:kern w:val="2"/>
    </w:rPr>
  </w:style>
  <w:style w:type="paragraph" w:customStyle="1" w:styleId="216">
    <w:name w:val="p0"/>
    <w:basedOn w:val="1"/>
    <w:qFormat/>
    <w:uiPriority w:val="0"/>
    <w:pPr>
      <w:widowControl/>
      <w:adjustRightInd/>
      <w:spacing w:line="240" w:lineRule="auto"/>
      <w:jc w:val="both"/>
      <w:textAlignment w:val="auto"/>
    </w:pPr>
    <w:rPr>
      <w:rFonts w:ascii="Calibri" w:hAnsi="Calibri" w:cs="宋体"/>
      <w:sz w:val="21"/>
      <w:szCs w:val="21"/>
    </w:rPr>
  </w:style>
  <w:style w:type="paragraph" w:customStyle="1" w:styleId="217">
    <w:name w:val="TOC 标题1"/>
    <w:basedOn w:val="2"/>
    <w:next w:val="1"/>
    <w:qFormat/>
    <w:uiPriority w:val="0"/>
    <w:pPr>
      <w:widowControl/>
      <w:numPr>
        <w:numId w:val="0"/>
      </w:numPr>
      <w:adjustRightInd/>
      <w:spacing w:before="480" w:after="0" w:line="276" w:lineRule="auto"/>
      <w:textAlignment w:val="auto"/>
      <w:outlineLvl w:val="9"/>
    </w:pPr>
    <w:rPr>
      <w:rFonts w:ascii="Cambria" w:hAnsi="Cambria"/>
      <w:color w:val="365F91"/>
      <w:kern w:val="0"/>
      <w:sz w:val="28"/>
      <w:szCs w:val="28"/>
    </w:rPr>
  </w:style>
  <w:style w:type="paragraph" w:customStyle="1" w:styleId="218">
    <w:name w:val="Char Char1 Char Char Char Char Char1 Char Char Char Char"/>
    <w:basedOn w:val="19"/>
    <w:uiPriority w:val="0"/>
    <w:pPr>
      <w:adjustRightInd/>
      <w:spacing w:line="240" w:lineRule="auto"/>
      <w:jc w:val="both"/>
      <w:textAlignment w:val="auto"/>
    </w:pPr>
    <w:rPr>
      <w:rFonts w:ascii="Tahoma" w:hAnsi="Tahoma"/>
      <w:kern w:val="2"/>
      <w:sz w:val="21"/>
      <w:szCs w:val="24"/>
    </w:rPr>
  </w:style>
  <w:style w:type="paragraph" w:customStyle="1" w:styleId="219">
    <w:name w:val="Char2"/>
    <w:basedOn w:val="1"/>
    <w:qFormat/>
    <w:uiPriority w:val="0"/>
    <w:pPr>
      <w:widowControl/>
      <w:adjustRightInd/>
      <w:spacing w:after="160" w:line="240" w:lineRule="exact"/>
      <w:textAlignment w:val="auto"/>
    </w:pPr>
    <w:rPr>
      <w:rFonts w:ascii="Verdana" w:hAnsi="Verdana" w:eastAsia="仿宋_GB2312"/>
      <w:sz w:val="30"/>
      <w:szCs w:val="30"/>
      <w:lang w:eastAsia="en-US"/>
    </w:rPr>
  </w:style>
  <w:style w:type="character" w:customStyle="1" w:styleId="220">
    <w:name w:val="尾注文本 Char"/>
    <w:link w:val="28"/>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0820D1-0797-40EA-87CB-E299C4E873B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3289</Words>
  <Characters>18749</Characters>
  <Lines>156</Lines>
  <Paragraphs>43</Paragraphs>
  <TotalTime>0</TotalTime>
  <ScaleCrop>false</ScaleCrop>
  <LinksUpToDate>false</LinksUpToDate>
  <CharactersWithSpaces>21995</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2018-10-15T07:48:00Z</dcterms:created>
  <dc:creator>Administrator</dc:creator>
  <cp:lastModifiedBy>海绵宝宝</cp:lastModifiedBy>
  <cp:lastPrinted>2016-05-17T10:27:00Z</cp:lastPrinted>
  <dcterms:modified xsi:type="dcterms:W3CDTF">2018-10-24T05:56:49Z</dcterms:modified>
  <dc:title>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