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b/>
          <w:sz w:val="36"/>
          <w:szCs w:val="36"/>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b/>
          <w:sz w:val="36"/>
          <w:szCs w:val="36"/>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36"/>
          <w:szCs w:val="36"/>
        </w:rPr>
        <w:t>谈判文件</w:t>
      </w: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lang w:eastAsia="zh-CN"/>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lang w:eastAsia="zh-CN"/>
        </w:rPr>
      </w:pP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1"/>
          <w:szCs w:val="21"/>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7"/>
        <w:pageBreakBefore w:val="0"/>
        <w:pBdr>
          <w:bottom w:val="none" w:color="auto" w:sz="0" w:space="0"/>
        </w:pBdr>
        <w:kinsoku/>
        <w:wordWrap/>
        <w:overflowPunct/>
        <w:topLinePunct w:val="0"/>
        <w:autoSpaceDE/>
        <w:autoSpaceDN/>
        <w:bidi w:val="0"/>
        <w:adjustRightInd/>
        <w:spacing w:line="360" w:lineRule="auto"/>
        <w:ind w:left="1505" w:leftChars="405" w:hanging="655" w:hangingChars="234"/>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防灾科技学院</w:t>
      </w:r>
      <w:r>
        <w:rPr>
          <w:rFonts w:hint="eastAsia" w:ascii="仿宋" w:hAnsi="仿宋" w:eastAsia="仿宋" w:cs="仿宋"/>
          <w:sz w:val="28"/>
          <w:szCs w:val="28"/>
          <w:lang w:val="en-US" w:eastAsia="zh-CN"/>
        </w:rPr>
        <w:t>19部电梯五方对讲应急系统改造</w:t>
      </w:r>
      <w:r>
        <w:rPr>
          <w:rFonts w:hint="eastAsia" w:ascii="仿宋" w:hAnsi="仿宋" w:eastAsia="仿宋" w:cs="仿宋"/>
          <w:sz w:val="28"/>
          <w:szCs w:val="28"/>
          <w:lang w:eastAsia="zh-CN"/>
        </w:rPr>
        <w:t>项目</w:t>
      </w:r>
    </w:p>
    <w:p>
      <w:pPr>
        <w:pStyle w:val="7"/>
        <w:pageBreakBefore w:val="0"/>
        <w:pBdr>
          <w:bottom w:val="none" w:color="auto" w:sz="0" w:space="0"/>
        </w:pBdr>
        <w:kinsoku/>
        <w:wordWrap/>
        <w:overflowPunct/>
        <w:topLinePunct w:val="0"/>
        <w:autoSpaceDE/>
        <w:autoSpaceDN/>
        <w:bidi w:val="0"/>
        <w:adjustRightInd/>
        <w:spacing w:line="360" w:lineRule="auto"/>
        <w:ind w:left="1505" w:leftChars="405" w:hanging="655" w:hangingChars="234"/>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项目编号：cidp-2018-195</w:t>
      </w:r>
    </w:p>
    <w:p>
      <w:pPr>
        <w:pStyle w:val="7"/>
        <w:pageBreakBefore w:val="0"/>
        <w:pBdr>
          <w:bottom w:val="none" w:color="auto" w:sz="0" w:space="0"/>
        </w:pBdr>
        <w:kinsoku/>
        <w:wordWrap/>
        <w:overflowPunct/>
        <w:topLinePunct w:val="0"/>
        <w:autoSpaceDE/>
        <w:autoSpaceDN/>
        <w:bidi w:val="0"/>
        <w:adjustRightInd/>
        <w:spacing w:line="360" w:lineRule="auto"/>
        <w:ind w:left="1505" w:leftChars="405" w:hanging="655" w:hangingChars="234"/>
        <w:jc w:val="left"/>
        <w:textAlignment w:val="auto"/>
        <w:rPr>
          <w:rFonts w:hint="eastAsia" w:ascii="仿宋" w:hAnsi="仿宋" w:eastAsia="仿宋" w:cs="仿宋"/>
          <w:sz w:val="28"/>
          <w:szCs w:val="28"/>
        </w:rPr>
      </w:pPr>
      <w:r>
        <w:rPr>
          <w:rFonts w:hint="eastAsia" w:ascii="仿宋" w:hAnsi="仿宋" w:eastAsia="仿宋" w:cs="仿宋"/>
          <w:sz w:val="28"/>
          <w:szCs w:val="28"/>
        </w:rPr>
        <w:t>采购人：防灾科技学院</w:t>
      </w: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201</w:t>
      </w:r>
      <w:r>
        <w:rPr>
          <w:rFonts w:hint="eastAsia" w:ascii="仿宋" w:hAnsi="仿宋" w:eastAsia="仿宋" w:cs="仿宋"/>
          <w:sz w:val="28"/>
          <w:szCs w:val="28"/>
          <w:lang w:eastAsia="zh-CN"/>
        </w:rPr>
        <w:t>8</w:t>
      </w:r>
      <w:r>
        <w:rPr>
          <w:rFonts w:hint="eastAsia" w:ascii="仿宋" w:hAnsi="仿宋" w:eastAsia="仿宋" w:cs="仿宋"/>
          <w:sz w:val="28"/>
          <w:szCs w:val="28"/>
        </w:rPr>
        <w:t>年</w:t>
      </w:r>
      <w:r>
        <w:rPr>
          <w:rFonts w:hint="eastAsia" w:ascii="仿宋" w:hAnsi="仿宋" w:eastAsia="仿宋" w:cs="仿宋"/>
          <w:sz w:val="28"/>
          <w:szCs w:val="28"/>
          <w:lang w:val="en-US" w:eastAsia="zh-CN"/>
        </w:rPr>
        <w:t>11</w:t>
      </w:r>
      <w:bookmarkStart w:id="38" w:name="_GoBack"/>
      <w:bookmarkEnd w:id="38"/>
      <w:r>
        <w:rPr>
          <w:rFonts w:hint="eastAsia" w:ascii="仿宋" w:hAnsi="仿宋" w:eastAsia="仿宋" w:cs="仿宋"/>
          <w:sz w:val="28"/>
          <w:szCs w:val="28"/>
        </w:rPr>
        <w:t>月</w:t>
      </w: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0" w:name="_Toc511641657"/>
      <w:bookmarkStart w:id="1" w:name="_Toc380479084"/>
      <w:bookmarkStart w:id="2" w:name="_Toc470496182"/>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t>第一章  采购邀请</w:t>
      </w:r>
      <w:bookmarkEnd w:id="0"/>
      <w:bookmarkEnd w:id="1"/>
      <w:bookmarkEnd w:id="2"/>
    </w:p>
    <w:p>
      <w:pPr>
        <w:pStyle w:val="7"/>
        <w:pageBreakBefore w:val="0"/>
        <w:pBdr>
          <w:bottom w:val="none" w:color="auto" w:sz="0" w:space="0"/>
        </w:pBdr>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项目信息：</w:t>
      </w:r>
    </w:p>
    <w:p>
      <w:pPr>
        <w:pStyle w:val="7"/>
        <w:pageBreakBefore w:val="0"/>
        <w:pBdr>
          <w:bottom w:val="none" w:color="auto" w:sz="0" w:space="0"/>
        </w:pBdr>
        <w:kinsoku/>
        <w:wordWrap/>
        <w:overflowPunct/>
        <w:topLinePunct w:val="0"/>
        <w:autoSpaceDE/>
        <w:autoSpaceDN/>
        <w:bidi w:val="0"/>
        <w:adjustRightInd/>
        <w:snapToGrid/>
        <w:spacing w:line="360" w:lineRule="auto"/>
        <w:ind w:left="945"/>
        <w:jc w:val="both"/>
        <w:textAlignment w:val="auto"/>
        <w:rPr>
          <w:rFonts w:hint="eastAsia" w:ascii="仿宋" w:hAnsi="仿宋" w:eastAsia="仿宋" w:cs="仿宋"/>
          <w:sz w:val="21"/>
          <w:szCs w:val="21"/>
          <w:lang w:eastAsia="zh-CN"/>
        </w:rPr>
      </w:pPr>
    </w:p>
    <w:p>
      <w:pPr>
        <w:pageBreakBefore w:val="0"/>
        <w:widowControl/>
        <w:kinsoku/>
        <w:wordWrap/>
        <w:overflowPunct/>
        <w:topLinePunct w:val="0"/>
        <w:autoSpaceDE/>
        <w:autoSpaceDN/>
        <w:bidi w:val="0"/>
        <w:adjustRightInd/>
        <w:spacing w:line="360" w:lineRule="auto"/>
        <w:ind w:left="1341" w:leftChars="405" w:hanging="491" w:hangingChars="234"/>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项目名称：</w:t>
      </w:r>
      <w:r>
        <w:rPr>
          <w:rFonts w:hint="eastAsia" w:ascii="仿宋" w:hAnsi="仿宋" w:eastAsia="仿宋" w:cs="仿宋"/>
          <w:sz w:val="21"/>
          <w:szCs w:val="21"/>
          <w:lang w:eastAsia="zh-CN"/>
        </w:rPr>
        <w:t>防灾科技学院</w:t>
      </w:r>
      <w:r>
        <w:rPr>
          <w:rFonts w:hint="eastAsia" w:ascii="仿宋" w:hAnsi="仿宋" w:eastAsia="仿宋" w:cs="仿宋"/>
          <w:sz w:val="21"/>
          <w:szCs w:val="21"/>
          <w:lang w:val="en-US" w:eastAsia="zh-CN"/>
        </w:rPr>
        <w:t>19部电梯五方对讲应急系统改造</w:t>
      </w:r>
      <w:r>
        <w:rPr>
          <w:rFonts w:hint="eastAsia" w:ascii="仿宋" w:hAnsi="仿宋" w:eastAsia="仿宋" w:cs="仿宋"/>
          <w:sz w:val="21"/>
          <w:szCs w:val="21"/>
          <w:lang w:eastAsia="zh-CN"/>
        </w:rPr>
        <w:t>项目</w:t>
      </w:r>
    </w:p>
    <w:p>
      <w:pPr>
        <w:pStyle w:val="7"/>
        <w:pageBreakBefore w:val="0"/>
        <w:numPr>
          <w:ilvl w:val="0"/>
          <w:numId w:val="0"/>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p>
    <w:p>
      <w:pPr>
        <w:pStyle w:val="7"/>
        <w:pageBreakBefore w:val="0"/>
        <w:numPr>
          <w:ilvl w:val="0"/>
          <w:numId w:val="1"/>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谈判文件</w:t>
      </w:r>
      <w:r>
        <w:rPr>
          <w:rFonts w:hint="eastAsia" w:ascii="仿宋" w:hAnsi="仿宋" w:eastAsia="仿宋" w:cs="仿宋"/>
          <w:sz w:val="21"/>
          <w:szCs w:val="21"/>
          <w:lang w:eastAsia="zh-CN"/>
        </w:rPr>
        <w:t>公示</w:t>
      </w:r>
      <w:r>
        <w:rPr>
          <w:rFonts w:hint="eastAsia" w:ascii="仿宋" w:hAnsi="仿宋" w:eastAsia="仿宋" w:cs="仿宋"/>
          <w:sz w:val="21"/>
          <w:szCs w:val="21"/>
        </w:rPr>
        <w:t>时间：</w:t>
      </w:r>
      <w:r>
        <w:rPr>
          <w:rFonts w:hint="eastAsia" w:ascii="仿宋" w:hAnsi="仿宋" w:eastAsia="仿宋" w:cs="仿宋"/>
          <w:i w:val="0"/>
          <w:caps w:val="0"/>
          <w:color w:val="000000"/>
          <w:spacing w:val="0"/>
          <w:sz w:val="21"/>
          <w:szCs w:val="21"/>
        </w:rPr>
        <w:t>2018年11月1</w:t>
      </w:r>
      <w:r>
        <w:rPr>
          <w:rFonts w:hint="eastAsia" w:ascii="仿宋" w:hAnsi="仿宋" w:eastAsia="仿宋" w:cs="仿宋"/>
          <w:i w:val="0"/>
          <w:caps w:val="0"/>
          <w:color w:val="000000"/>
          <w:spacing w:val="0"/>
          <w:sz w:val="21"/>
          <w:szCs w:val="21"/>
          <w:lang w:val="en-US" w:eastAsia="zh-CN"/>
        </w:rPr>
        <w:t>6</w:t>
      </w:r>
      <w:r>
        <w:rPr>
          <w:rFonts w:hint="eastAsia" w:ascii="仿宋" w:hAnsi="仿宋" w:eastAsia="仿宋" w:cs="仿宋"/>
          <w:i w:val="0"/>
          <w:caps w:val="0"/>
          <w:color w:val="000000"/>
          <w:spacing w:val="0"/>
          <w:sz w:val="21"/>
          <w:szCs w:val="21"/>
        </w:rPr>
        <w:t>日至2018年11月</w:t>
      </w:r>
      <w:r>
        <w:rPr>
          <w:rFonts w:hint="eastAsia" w:ascii="仿宋" w:hAnsi="仿宋" w:eastAsia="仿宋" w:cs="仿宋"/>
          <w:i w:val="0"/>
          <w:caps w:val="0"/>
          <w:color w:val="000000"/>
          <w:spacing w:val="0"/>
          <w:sz w:val="21"/>
          <w:szCs w:val="21"/>
          <w:lang w:val="en-US" w:eastAsia="zh-CN"/>
        </w:rPr>
        <w:t>20</w:t>
      </w:r>
      <w:r>
        <w:rPr>
          <w:rFonts w:hint="eastAsia" w:ascii="仿宋" w:hAnsi="仿宋" w:eastAsia="仿宋" w:cs="仿宋"/>
          <w:i w:val="0"/>
          <w:caps w:val="0"/>
          <w:color w:val="000000"/>
          <w:spacing w:val="0"/>
          <w:sz w:val="21"/>
          <w:szCs w:val="21"/>
        </w:rPr>
        <w:t>日</w:t>
      </w:r>
      <w:r>
        <w:rPr>
          <w:rFonts w:hint="eastAsia" w:ascii="仿宋" w:hAnsi="仿宋" w:eastAsia="仿宋" w:cs="仿宋"/>
          <w:sz w:val="21"/>
          <w:szCs w:val="21"/>
        </w:rPr>
        <w:t>（8:00—12:00,14:00—17:00）（节假日除外）</w:t>
      </w:r>
    </w:p>
    <w:p>
      <w:pPr>
        <w:pStyle w:val="7"/>
        <w:pageBreakBefore w:val="0"/>
        <w:numPr>
          <w:ilvl w:val="0"/>
          <w:numId w:val="1"/>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获取采购文件、</w:t>
      </w:r>
      <w:r>
        <w:rPr>
          <w:rFonts w:hint="eastAsia" w:ascii="仿宋" w:hAnsi="仿宋" w:eastAsia="仿宋" w:cs="仿宋"/>
          <w:sz w:val="21"/>
          <w:szCs w:val="21"/>
          <w:lang w:eastAsia="zh-CN"/>
        </w:rPr>
        <w:t>报名地点：</w:t>
      </w:r>
      <w:r>
        <w:rPr>
          <w:rFonts w:hint="eastAsia" w:ascii="仿宋" w:hAnsi="仿宋" w:eastAsia="仿宋" w:cs="仿宋"/>
          <w:i w:val="0"/>
          <w:caps w:val="0"/>
          <w:color w:val="000000"/>
          <w:spacing w:val="0"/>
          <w:sz w:val="21"/>
          <w:szCs w:val="21"/>
        </w:rPr>
        <w:t>防灾科技学院明德楼</w:t>
      </w:r>
      <w:r>
        <w:rPr>
          <w:rFonts w:hint="eastAsia" w:ascii="仿宋" w:hAnsi="仿宋" w:eastAsia="仿宋" w:cs="仿宋"/>
          <w:i w:val="0"/>
          <w:caps w:val="0"/>
          <w:color w:val="000000"/>
          <w:spacing w:val="0"/>
          <w:sz w:val="21"/>
          <w:szCs w:val="21"/>
          <w:lang w:val="en-US" w:eastAsia="zh-CN"/>
        </w:rPr>
        <w:t>122</w:t>
      </w:r>
      <w:r>
        <w:rPr>
          <w:rFonts w:hint="eastAsia" w:ascii="仿宋" w:hAnsi="仿宋" w:eastAsia="仿宋" w:cs="仿宋"/>
          <w:i w:val="0"/>
          <w:caps w:val="0"/>
          <w:color w:val="000000"/>
          <w:spacing w:val="0"/>
          <w:sz w:val="21"/>
          <w:szCs w:val="21"/>
        </w:rPr>
        <w:t>室；联系人：蒋老师、李老师；联系电话：01061596041、</w:t>
      </w:r>
      <w:r>
        <w:rPr>
          <w:rFonts w:hint="eastAsia" w:ascii="仿宋" w:hAnsi="仿宋" w:eastAsia="仿宋" w:cs="仿宋"/>
          <w:i w:val="0"/>
          <w:caps w:val="0"/>
          <w:color w:val="000000"/>
          <w:spacing w:val="0"/>
          <w:sz w:val="21"/>
          <w:szCs w:val="21"/>
          <w:lang w:val="en-US" w:eastAsia="zh-CN"/>
        </w:rPr>
        <w:t>0316-3333559</w:t>
      </w:r>
      <w:r>
        <w:rPr>
          <w:rFonts w:hint="eastAsia" w:ascii="仿宋" w:hAnsi="仿宋" w:eastAsia="仿宋" w:cs="仿宋"/>
          <w:sz w:val="21"/>
          <w:szCs w:val="21"/>
        </w:rPr>
        <w:t>。</w:t>
      </w:r>
    </w:p>
    <w:p>
      <w:pPr>
        <w:pStyle w:val="7"/>
        <w:pageBreakBefore w:val="0"/>
        <w:numPr>
          <w:ilvl w:val="0"/>
          <w:numId w:val="1"/>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技术咨询</w:t>
      </w:r>
      <w:r>
        <w:rPr>
          <w:rFonts w:hint="eastAsia" w:ascii="仿宋" w:hAnsi="仿宋" w:eastAsia="仿宋" w:cs="仿宋"/>
          <w:sz w:val="21"/>
          <w:szCs w:val="21"/>
          <w:lang w:eastAsia="zh-CN"/>
        </w:rPr>
        <w:t>、现场踏勘</w:t>
      </w:r>
      <w:r>
        <w:rPr>
          <w:rFonts w:hint="eastAsia" w:ascii="仿宋" w:hAnsi="仿宋" w:eastAsia="仿宋" w:cs="仿宋"/>
          <w:sz w:val="21"/>
          <w:szCs w:val="21"/>
        </w:rPr>
        <w:t>：防灾科技学院</w:t>
      </w:r>
      <w:r>
        <w:rPr>
          <w:rFonts w:hint="eastAsia" w:ascii="仿宋" w:eastAsia="仿宋" w:cs="仿宋"/>
          <w:kern w:val="0"/>
          <w:sz w:val="24"/>
          <w:szCs w:val="24"/>
          <w:lang w:eastAsia="zh-CN"/>
        </w:rPr>
        <w:t>后勤服务中心</w:t>
      </w:r>
      <w:r>
        <w:rPr>
          <w:rFonts w:hint="eastAsia" w:ascii="仿宋" w:hAnsi="仿宋" w:eastAsia="仿宋" w:cs="仿宋"/>
          <w:sz w:val="21"/>
          <w:szCs w:val="21"/>
        </w:rPr>
        <w:t>；联系人：</w:t>
      </w:r>
      <w:r>
        <w:rPr>
          <w:rFonts w:hint="eastAsia" w:ascii="仿宋" w:hAnsi="仿宋" w:eastAsia="仿宋" w:cs="仿宋"/>
          <w:sz w:val="21"/>
          <w:szCs w:val="21"/>
          <w:u w:val="single"/>
          <w:lang w:val="en-US" w:eastAsia="zh-CN"/>
        </w:rPr>
        <w:t xml:space="preserve"> 杨  </w:t>
      </w:r>
      <w:r>
        <w:rPr>
          <w:rFonts w:hint="eastAsia" w:ascii="仿宋" w:hAnsi="仿宋" w:eastAsia="仿宋" w:cs="仿宋"/>
          <w:sz w:val="21"/>
          <w:szCs w:val="21"/>
        </w:rPr>
        <w:t>老师；联系电话：</w:t>
      </w:r>
      <w:r>
        <w:rPr>
          <w:rFonts w:hint="eastAsia" w:ascii="仿宋" w:hAnsi="仿宋" w:eastAsia="仿宋" w:cs="仿宋"/>
          <w:sz w:val="21"/>
          <w:szCs w:val="21"/>
          <w:u w:val="single"/>
          <w:lang w:val="en-US" w:eastAsia="zh-CN"/>
        </w:rPr>
        <w:t xml:space="preserve">  010-58412808 </w:t>
      </w:r>
      <w:r>
        <w:rPr>
          <w:rFonts w:hint="eastAsia" w:ascii="仿宋" w:hAnsi="仿宋" w:eastAsia="仿宋" w:cs="仿宋"/>
          <w:sz w:val="21"/>
          <w:szCs w:val="21"/>
        </w:rPr>
        <w:t>。</w:t>
      </w:r>
    </w:p>
    <w:p>
      <w:pPr>
        <w:pStyle w:val="7"/>
        <w:pageBreakBefore w:val="0"/>
        <w:numPr>
          <w:ilvl w:val="0"/>
          <w:numId w:val="1"/>
        </w:numPr>
        <w:pBdr>
          <w:bottom w:val="none" w:color="auto" w:sz="0" w:space="0"/>
        </w:pBdr>
        <w:tabs>
          <w:tab w:val="center" w:pos="993"/>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响应文件提交时间、截止时间及地点：</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lang w:val="en-US"/>
        </w:rPr>
      </w:pPr>
      <w:r>
        <w:rPr>
          <w:rFonts w:hint="eastAsia" w:ascii="仿宋" w:hAnsi="仿宋" w:eastAsia="仿宋" w:cs="仿宋"/>
          <w:sz w:val="21"/>
          <w:szCs w:val="21"/>
        </w:rPr>
        <w:t>截止时间：</w:t>
      </w:r>
      <w:r>
        <w:rPr>
          <w:rFonts w:hint="eastAsia" w:ascii="仿宋" w:hAnsi="仿宋" w:eastAsia="仿宋" w:cs="仿宋"/>
          <w:i w:val="0"/>
          <w:caps w:val="0"/>
          <w:color w:val="000000"/>
          <w:spacing w:val="0"/>
          <w:sz w:val="21"/>
          <w:szCs w:val="21"/>
        </w:rPr>
        <w:t>2018年11月</w:t>
      </w:r>
      <w:r>
        <w:rPr>
          <w:rFonts w:hint="eastAsia" w:ascii="仿宋" w:hAnsi="仿宋" w:eastAsia="仿宋" w:cs="仿宋"/>
          <w:i w:val="0"/>
          <w:caps w:val="0"/>
          <w:color w:val="000000"/>
          <w:spacing w:val="0"/>
          <w:sz w:val="21"/>
          <w:szCs w:val="21"/>
          <w:lang w:val="en-US" w:eastAsia="zh-CN"/>
        </w:rPr>
        <w:t>23</w:t>
      </w:r>
      <w:r>
        <w:rPr>
          <w:rFonts w:hint="eastAsia" w:ascii="仿宋" w:hAnsi="仿宋" w:eastAsia="仿宋" w:cs="仿宋"/>
          <w:i w:val="0"/>
          <w:caps w:val="0"/>
          <w:color w:val="000000"/>
          <w:spacing w:val="0"/>
          <w:sz w:val="21"/>
          <w:szCs w:val="21"/>
        </w:rPr>
        <w:t>日11：00时</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地点：防灾科技学院明德楼</w:t>
      </w:r>
      <w:r>
        <w:rPr>
          <w:rFonts w:hint="eastAsia" w:ascii="仿宋" w:hAnsi="仿宋" w:eastAsia="仿宋" w:cs="仿宋"/>
          <w:sz w:val="21"/>
          <w:szCs w:val="21"/>
          <w:u w:val="single"/>
          <w:lang w:val="en-US" w:eastAsia="zh-CN"/>
        </w:rPr>
        <w:t xml:space="preserve"> 234 </w:t>
      </w:r>
      <w:r>
        <w:rPr>
          <w:rFonts w:hint="eastAsia" w:ascii="仿宋" w:hAnsi="仿宋" w:eastAsia="仿宋" w:cs="仿宋"/>
          <w:sz w:val="21"/>
          <w:szCs w:val="21"/>
        </w:rPr>
        <w:t>会议室</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响应文件应密封送达</w:t>
      </w:r>
      <w:r>
        <w:rPr>
          <w:rFonts w:hint="eastAsia" w:ascii="仿宋" w:hAnsi="仿宋" w:eastAsia="仿宋" w:cs="仿宋"/>
          <w:sz w:val="21"/>
          <w:szCs w:val="21"/>
        </w:rPr>
        <w:t>指定地点</w:t>
      </w:r>
      <w:r>
        <w:rPr>
          <w:rFonts w:hint="eastAsia" w:ascii="仿宋" w:hAnsi="仿宋" w:eastAsia="仿宋" w:cs="仿宋"/>
          <w:sz w:val="21"/>
          <w:szCs w:val="21"/>
          <w:lang w:eastAsia="zh-CN"/>
        </w:rPr>
        <w:t>，</w:t>
      </w:r>
      <w:r>
        <w:rPr>
          <w:rFonts w:hint="eastAsia" w:ascii="仿宋" w:hAnsi="仿宋" w:eastAsia="仿宋" w:cs="仿宋"/>
          <w:sz w:val="21"/>
          <w:szCs w:val="21"/>
        </w:rPr>
        <w:t>在截止时间后送达的响应文件为无效文件，将被拒收。</w:t>
      </w:r>
    </w:p>
    <w:p>
      <w:pPr>
        <w:pStyle w:val="7"/>
        <w:pageBreakBefore w:val="0"/>
        <w:numPr>
          <w:ilvl w:val="0"/>
          <w:numId w:val="1"/>
        </w:numPr>
        <w:pBdr>
          <w:bottom w:val="none" w:color="auto" w:sz="0" w:space="0"/>
        </w:pBdr>
        <w:tabs>
          <w:tab w:val="center" w:pos="993"/>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最后报价提交时间及地点：</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rPr>
      </w:pPr>
      <w:r>
        <w:rPr>
          <w:rFonts w:hint="eastAsia" w:ascii="仿宋" w:hAnsi="仿宋" w:eastAsia="仿宋" w:cs="仿宋"/>
          <w:sz w:val="21"/>
          <w:szCs w:val="21"/>
        </w:rPr>
        <w:t>提交时间：</w:t>
      </w:r>
      <w:r>
        <w:rPr>
          <w:rFonts w:hint="eastAsia" w:ascii="仿宋" w:hAnsi="仿宋" w:eastAsia="仿宋" w:cs="仿宋"/>
          <w:i w:val="0"/>
          <w:caps w:val="0"/>
          <w:color w:val="000000"/>
          <w:spacing w:val="0"/>
          <w:sz w:val="21"/>
          <w:szCs w:val="21"/>
        </w:rPr>
        <w:t>2018年11月</w:t>
      </w:r>
      <w:r>
        <w:rPr>
          <w:rFonts w:hint="eastAsia" w:ascii="仿宋" w:hAnsi="仿宋" w:eastAsia="仿宋" w:cs="仿宋"/>
          <w:i w:val="0"/>
          <w:caps w:val="0"/>
          <w:color w:val="000000"/>
          <w:spacing w:val="0"/>
          <w:sz w:val="21"/>
          <w:szCs w:val="21"/>
          <w:lang w:val="en-US" w:eastAsia="zh-CN"/>
        </w:rPr>
        <w:t>23</w:t>
      </w:r>
      <w:r>
        <w:rPr>
          <w:rFonts w:hint="eastAsia" w:ascii="仿宋" w:hAnsi="仿宋" w:eastAsia="仿宋" w:cs="仿宋"/>
          <w:i w:val="0"/>
          <w:caps w:val="0"/>
          <w:color w:val="000000"/>
          <w:spacing w:val="0"/>
          <w:sz w:val="21"/>
          <w:szCs w:val="21"/>
        </w:rPr>
        <w:t>日11：00时</w:t>
      </w:r>
    </w:p>
    <w:p>
      <w:pPr>
        <w:pStyle w:val="7"/>
        <w:pageBreakBefore w:val="0"/>
        <w:pBdr>
          <w:bottom w:val="none" w:color="auto" w:sz="0" w:space="0"/>
        </w:pBdr>
        <w:kinsoku/>
        <w:wordWrap/>
        <w:overflowPunct/>
        <w:topLinePunct w:val="0"/>
        <w:autoSpaceDE/>
        <w:autoSpaceDN/>
        <w:bidi w:val="0"/>
        <w:adjustRightInd/>
        <w:snapToGrid/>
        <w:spacing w:line="360" w:lineRule="auto"/>
        <w:ind w:left="945" w:leftChars="450"/>
        <w:jc w:val="both"/>
        <w:textAlignment w:val="auto"/>
        <w:rPr>
          <w:rFonts w:hint="eastAsia" w:ascii="仿宋" w:hAnsi="仿宋" w:eastAsia="仿宋" w:cs="仿宋"/>
          <w:sz w:val="21"/>
          <w:szCs w:val="21"/>
        </w:rPr>
      </w:pPr>
      <w:r>
        <w:rPr>
          <w:rFonts w:hint="eastAsia" w:ascii="仿宋" w:hAnsi="仿宋" w:eastAsia="仿宋" w:cs="仿宋"/>
          <w:sz w:val="21"/>
          <w:szCs w:val="21"/>
        </w:rPr>
        <w:t>地点：同响应文件提交地点</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．凡对谈判提出询问，请按下列内容与采购人联系：</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 xml:space="preserve">   地    址：</w:t>
      </w:r>
      <w:r>
        <w:rPr>
          <w:rFonts w:hint="eastAsia" w:ascii="仿宋" w:hAnsi="仿宋" w:eastAsia="仿宋" w:cs="仿宋"/>
          <w:sz w:val="21"/>
          <w:szCs w:val="21"/>
          <w:u w:val="single"/>
        </w:rPr>
        <w:t>防灾科技学院</w:t>
      </w:r>
      <w:r>
        <w:rPr>
          <w:rFonts w:hint="eastAsia" w:ascii="仿宋" w:hAnsi="仿宋" w:eastAsia="仿宋" w:cs="仿宋"/>
          <w:sz w:val="21"/>
          <w:szCs w:val="21"/>
          <w:u w:val="single"/>
          <w:lang w:val="en-US" w:eastAsia="zh-CN"/>
        </w:rPr>
        <w:t xml:space="preserve">     </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 xml:space="preserve">   电    话：</w:t>
      </w:r>
      <w:r>
        <w:rPr>
          <w:rFonts w:hint="eastAsia" w:ascii="仿宋" w:hAnsi="仿宋" w:eastAsia="仿宋" w:cs="仿宋"/>
          <w:sz w:val="21"/>
          <w:szCs w:val="21"/>
          <w:u w:val="single"/>
          <w:lang w:val="en-US" w:eastAsia="zh-CN"/>
        </w:rPr>
        <w:t xml:space="preserve">  杨老师          </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 xml:space="preserve">   联 系 人：</w:t>
      </w:r>
      <w:r>
        <w:rPr>
          <w:rFonts w:hint="eastAsia" w:ascii="仿宋" w:hAnsi="仿宋" w:eastAsia="仿宋" w:cs="仿宋"/>
          <w:sz w:val="21"/>
          <w:szCs w:val="21"/>
          <w:u w:val="single"/>
          <w:lang w:val="en-US" w:eastAsia="zh-CN"/>
        </w:rPr>
        <w:t xml:space="preserve">   010-58412808   </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3" w:name="_Toc470496183"/>
      <w:bookmarkStart w:id="4" w:name="_Toc511641658"/>
      <w:bookmarkStart w:id="5" w:name="_Toc380479085"/>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t>第二章  谈判供应商须知</w:t>
      </w:r>
      <w:bookmarkEnd w:id="3"/>
      <w:bookmarkEnd w:id="4"/>
      <w:bookmarkEnd w:id="5"/>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6" w:name="_Toc380479086"/>
      <w:r>
        <w:rPr>
          <w:rFonts w:hint="eastAsia" w:ascii="仿宋" w:hAnsi="仿宋" w:eastAsia="仿宋" w:cs="仿宋"/>
          <w:sz w:val="21"/>
          <w:szCs w:val="21"/>
        </w:rPr>
        <w:t>谈判供应商须知前附表</w:t>
      </w:r>
      <w:bookmarkEnd w:id="6"/>
    </w:p>
    <w:p>
      <w:pPr>
        <w:pageBreakBefore w:val="0"/>
        <w:kinsoku/>
        <w:wordWrap/>
        <w:overflowPunct/>
        <w:topLinePunct w:val="0"/>
        <w:autoSpaceDE/>
        <w:autoSpaceDN/>
        <w:bidi w:val="0"/>
        <w:adjustRightInd/>
        <w:spacing w:line="360" w:lineRule="auto"/>
        <w:ind w:firstLine="315" w:firstLineChars="150"/>
        <w:textAlignment w:val="auto"/>
        <w:rPr>
          <w:rFonts w:hint="eastAsia" w:ascii="仿宋" w:hAnsi="仿宋" w:eastAsia="仿宋" w:cs="仿宋"/>
          <w:sz w:val="21"/>
          <w:szCs w:val="21"/>
        </w:rPr>
      </w:pPr>
      <w:r>
        <w:rPr>
          <w:rFonts w:hint="eastAsia" w:ascii="仿宋" w:hAnsi="仿宋" w:eastAsia="仿宋" w:cs="仿宋"/>
          <w:sz w:val="21"/>
          <w:szCs w:val="21"/>
        </w:rPr>
        <w:t xml:space="preserve"> 本表是关于本次要采购服务的具体资料，是对谈判供应商须知的具体补充和修改，如有矛盾，应以本表为准。</w:t>
      </w:r>
    </w:p>
    <w:tbl>
      <w:tblPr>
        <w:tblStyle w:val="18"/>
        <w:tblW w:w="9214"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8"/>
        <w:gridCol w:w="22"/>
        <w:gridCol w:w="77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81" w:leftChars="-13" w:hanging="1108"/>
              <w:jc w:val="center"/>
              <w:textAlignment w:val="auto"/>
              <w:rPr>
                <w:rFonts w:hint="eastAsia" w:ascii="仿宋" w:hAnsi="仿宋" w:eastAsia="仿宋" w:cs="仿宋"/>
                <w:sz w:val="21"/>
                <w:szCs w:val="21"/>
              </w:rPr>
            </w:pPr>
            <w:r>
              <w:rPr>
                <w:rFonts w:hint="eastAsia" w:ascii="仿宋" w:hAnsi="仿宋" w:eastAsia="仿宋" w:cs="仿宋"/>
                <w:sz w:val="21"/>
                <w:szCs w:val="21"/>
              </w:rPr>
              <w:t>条款号</w:t>
            </w:r>
          </w:p>
        </w:tc>
        <w:tc>
          <w:tcPr>
            <w:tcW w:w="7774" w:type="dxa"/>
            <w:vAlign w:val="center"/>
          </w:tcPr>
          <w:p>
            <w:pPr>
              <w:pageBreakBefore w:val="0"/>
              <w:kinsoku/>
              <w:wordWrap/>
              <w:overflowPunct/>
              <w:topLinePunct w:val="0"/>
              <w:autoSpaceDE/>
              <w:autoSpaceDN/>
              <w:bidi w:val="0"/>
              <w:adjustRightInd/>
              <w:spacing w:line="360" w:lineRule="auto"/>
              <w:ind w:left="1080" w:hanging="1080"/>
              <w:jc w:val="center"/>
              <w:textAlignment w:val="auto"/>
              <w:rPr>
                <w:rFonts w:hint="eastAsia" w:ascii="仿宋" w:hAnsi="仿宋" w:eastAsia="仿宋" w:cs="仿宋"/>
                <w:sz w:val="21"/>
                <w:szCs w:val="21"/>
              </w:rPr>
            </w:pPr>
            <w:r>
              <w:rPr>
                <w:rFonts w:hint="eastAsia" w:ascii="仿宋" w:hAnsi="仿宋" w:eastAsia="仿宋" w:cs="仿宋"/>
                <w:sz w:val="21"/>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335"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1.1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采购人：防灾科技学院</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地  址：燕郊高新区防灾科技学院</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lang w:eastAsia="zh-CN"/>
              </w:rPr>
            </w:pPr>
            <w:r>
              <w:rPr>
                <w:rFonts w:hint="eastAsia" w:ascii="仿宋" w:hAnsi="仿宋" w:eastAsia="仿宋" w:cs="仿宋"/>
                <w:sz w:val="21"/>
                <w:szCs w:val="21"/>
              </w:rPr>
              <w:t>联系人：</w:t>
            </w:r>
            <w:r>
              <w:rPr>
                <w:rFonts w:hint="eastAsia" w:ascii="仿宋" w:hAnsi="仿宋" w:eastAsia="仿宋" w:cs="仿宋"/>
                <w:sz w:val="21"/>
                <w:szCs w:val="21"/>
                <w:u w:val="single"/>
                <w:lang w:val="en-US" w:eastAsia="zh-CN"/>
              </w:rPr>
              <w:t>杨</w:t>
            </w:r>
            <w:r>
              <w:rPr>
                <w:rFonts w:hint="eastAsia" w:ascii="仿宋" w:hAnsi="仿宋" w:eastAsia="仿宋" w:cs="仿宋"/>
                <w:sz w:val="21"/>
                <w:szCs w:val="21"/>
                <w:lang w:eastAsia="zh-CN"/>
              </w:rPr>
              <w:t>老师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color w:val="FF0000"/>
                <w:sz w:val="21"/>
                <w:szCs w:val="21"/>
              </w:rPr>
            </w:pPr>
            <w:r>
              <w:rPr>
                <w:rFonts w:hint="eastAsia" w:ascii="仿宋" w:hAnsi="仿宋" w:eastAsia="仿宋" w:cs="仿宋"/>
                <w:color w:val="FF0000"/>
                <w:sz w:val="21"/>
                <w:szCs w:val="21"/>
              </w:rPr>
              <w:t xml:space="preserve">1.2 </w:t>
            </w:r>
          </w:p>
        </w:tc>
        <w:tc>
          <w:tcPr>
            <w:tcW w:w="7774"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rPr>
                <w:rFonts w:hint="eastAsia" w:ascii="仿宋" w:hAnsi="仿宋" w:eastAsia="仿宋" w:cs="仿宋"/>
                <w:color w:val="FF0000"/>
                <w:sz w:val="21"/>
                <w:szCs w:val="21"/>
              </w:rPr>
            </w:pPr>
            <w:r>
              <w:rPr>
                <w:rFonts w:hint="eastAsia" w:ascii="仿宋" w:hAnsi="仿宋" w:eastAsia="仿宋" w:cs="仿宋"/>
                <w:color w:val="FF0000"/>
                <w:sz w:val="21"/>
                <w:szCs w:val="21"/>
              </w:rPr>
              <w:t>项目名称：</w:t>
            </w:r>
            <w:r>
              <w:rPr>
                <w:rFonts w:hint="eastAsia" w:ascii="仿宋" w:hAnsi="仿宋" w:eastAsia="仿宋" w:cs="仿宋"/>
                <w:sz w:val="21"/>
                <w:szCs w:val="21"/>
                <w:lang w:eastAsia="zh-CN"/>
              </w:rPr>
              <w:t>防灾科技学院</w:t>
            </w:r>
            <w:r>
              <w:rPr>
                <w:rFonts w:hint="eastAsia" w:ascii="仿宋" w:hAnsi="仿宋" w:eastAsia="仿宋" w:cs="仿宋"/>
                <w:sz w:val="21"/>
                <w:szCs w:val="21"/>
                <w:lang w:val="en-US" w:eastAsia="zh-CN"/>
              </w:rPr>
              <w:t>19部电梯五方对讲应急系统改造</w:t>
            </w:r>
            <w:r>
              <w:rPr>
                <w:rFonts w:hint="eastAsia" w:ascii="仿宋" w:hAnsi="仿宋" w:eastAsia="仿宋" w:cs="仿宋"/>
                <w:sz w:val="21"/>
                <w:szCs w:val="21"/>
                <w:lang w:eastAsia="zh-CN"/>
              </w:rPr>
              <w:t>项目</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color w:val="FF0000"/>
                <w:sz w:val="21"/>
                <w:szCs w:val="21"/>
                <w:lang w:val="en-US" w:eastAsia="zh-CN"/>
              </w:rPr>
            </w:pPr>
            <w:r>
              <w:rPr>
                <w:rFonts w:hint="eastAsia" w:ascii="仿宋" w:hAnsi="仿宋" w:eastAsia="仿宋" w:cs="仿宋"/>
                <w:color w:val="FF0000"/>
                <w:sz w:val="21"/>
                <w:szCs w:val="21"/>
                <w:lang w:eastAsia="zh-CN"/>
              </w:rPr>
              <w:t>拟采购预算：</w:t>
            </w:r>
            <w:r>
              <w:rPr>
                <w:rFonts w:hint="eastAsia" w:ascii="仿宋" w:hAnsi="仿宋" w:eastAsia="仿宋" w:cs="仿宋"/>
                <w:color w:val="FF0000"/>
                <w:sz w:val="21"/>
                <w:szCs w:val="21"/>
                <w:lang w:val="en-US" w:eastAsia="zh-CN"/>
              </w:rPr>
              <w:t>7.50 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2.1（1）</w:t>
            </w:r>
          </w:p>
        </w:tc>
        <w:tc>
          <w:tcPr>
            <w:tcW w:w="7774" w:type="dxa"/>
            <w:vAlign w:val="center"/>
          </w:tcPr>
          <w:p>
            <w:pPr>
              <w:pageBreakBefore w:val="0"/>
              <w:numPr>
                <w:ilvl w:val="0"/>
                <w:numId w:val="2"/>
              </w:numPr>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合格供应商资格条件其他要求：无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2.1（2）</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u w:val="single"/>
              </w:rPr>
            </w:pPr>
            <w:r>
              <w:rPr>
                <w:rFonts w:hint="eastAsia" w:ascii="仿宋" w:hAnsi="仿宋" w:eastAsia="仿宋" w:cs="仿宋"/>
                <w:sz w:val="21"/>
                <w:szCs w:val="21"/>
              </w:rPr>
              <w:t>是否专门面向中小企业采购：</w:t>
            </w:r>
            <w:r>
              <w:rPr>
                <w:rFonts w:hint="eastAsia" w:ascii="仿宋" w:hAnsi="仿宋" w:eastAsia="仿宋" w:cs="仿宋"/>
                <w:sz w:val="21"/>
                <w:szCs w:val="21"/>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2.2</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是否允许联合体参加谈判：</w:t>
            </w:r>
            <w:r>
              <w:rPr>
                <w:rFonts w:hint="eastAsia" w:ascii="仿宋" w:hAnsi="仿宋" w:eastAsia="仿宋" w:cs="仿宋"/>
                <w:sz w:val="21"/>
                <w:szCs w:val="21"/>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2.3</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对联合体的其他资格要求：不适用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3.1（1）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采购需求响应方案内容要求：提供第三章采购需求的点对点应答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3.1（2）</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资格证明文件：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1、法定代表人授权书（原件，加盖公章，供应商为自然人的无须提供）</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2、谈判供应商情况表（原件，加盖公章，供应商为自然人的无须提供）</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3、营业执照（副本复印件，加盖公章）或事业单位法人证书（副本复印件，加盖公章）</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4、近期谈判供应商缴纳企业所得税或增值税的证明（1个月的即可，缴纳发票复印件，加盖公章）或事业单位近期纳税证明（缴纳发票复印件，加盖公章）或自然人缴纳个人所得税证明</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近期谈判供应商为职工缴纳社会保险的证明（1个月的即可包括基本养老保险费、基本医疗保险费、失业保险费等缴纳发票复印件，加盖公章。依法不需要缴纳社保的供应商应提供不需缴纳的声明原件，格式自定）</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6、开户银行为本项目出具的资信证明（原件）或上年度由会计师事务所出具的财务审计报告（复印件，加盖公章）</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7、谈判供应商参加政府采购活动近三年内无违法记录的说明（格式自定，原件）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8、谈判供应商企业类型声明函、制造商企业类型声明函（原件，符合《政府采购促进中小企业发展暂行办法》（财库[2011]181号）价格扣减条件的谈判供应商须提交）</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9、投标人认为可以证明其工作和项目能力的其他资质文件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4.1（1）</w:t>
            </w:r>
          </w:p>
        </w:tc>
        <w:tc>
          <w:tcPr>
            <w:tcW w:w="7774" w:type="dxa"/>
            <w:vAlign w:val="center"/>
          </w:tcPr>
          <w:p>
            <w:pPr>
              <w:pageBreakBefore w:val="0"/>
              <w:kinsoku/>
              <w:wordWrap/>
              <w:overflowPunct/>
              <w:topLinePunct w:val="0"/>
              <w:autoSpaceDE/>
              <w:autoSpaceDN/>
              <w:bidi w:val="0"/>
              <w:adjustRightInd/>
              <w:spacing w:line="360" w:lineRule="auto"/>
              <w:ind w:hanging="50"/>
              <w:jc w:val="left"/>
              <w:textAlignment w:val="auto"/>
              <w:rPr>
                <w:rFonts w:hint="eastAsia" w:ascii="仿宋" w:hAnsi="仿宋" w:eastAsia="仿宋" w:cs="仿宋"/>
                <w:sz w:val="21"/>
                <w:szCs w:val="21"/>
              </w:rPr>
            </w:pPr>
            <w:r>
              <w:rPr>
                <w:rFonts w:hint="eastAsia" w:ascii="仿宋" w:hAnsi="仿宋" w:eastAsia="仿宋" w:cs="仿宋"/>
                <w:sz w:val="21"/>
                <w:szCs w:val="21"/>
              </w:rPr>
              <w:t>响应文件其他内容：无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5.1</w:t>
            </w:r>
          </w:p>
        </w:tc>
        <w:tc>
          <w:tcPr>
            <w:tcW w:w="7774" w:type="dxa"/>
            <w:vAlign w:val="center"/>
          </w:tcPr>
          <w:p>
            <w:pPr>
              <w:pageBreakBefore w:val="0"/>
              <w:kinsoku/>
              <w:wordWrap/>
              <w:overflowPunct/>
              <w:topLinePunct w:val="0"/>
              <w:autoSpaceDE/>
              <w:autoSpaceDN/>
              <w:bidi w:val="0"/>
              <w:adjustRightInd/>
              <w:spacing w:line="360" w:lineRule="auto"/>
              <w:ind w:hanging="50"/>
              <w:jc w:val="left"/>
              <w:textAlignment w:val="auto"/>
              <w:rPr>
                <w:rFonts w:hint="eastAsia" w:ascii="仿宋" w:hAnsi="仿宋" w:eastAsia="仿宋" w:cs="仿宋"/>
                <w:sz w:val="21"/>
                <w:szCs w:val="21"/>
                <w:u w:val="single"/>
              </w:rPr>
            </w:pPr>
            <w:r>
              <w:rPr>
                <w:rFonts w:hint="eastAsia" w:ascii="仿宋" w:hAnsi="仿宋" w:eastAsia="仿宋" w:cs="仿宋"/>
                <w:sz w:val="21"/>
                <w:szCs w:val="21"/>
              </w:rPr>
              <w:t>响应文件有效期：</w:t>
            </w:r>
            <w:r>
              <w:rPr>
                <w:rFonts w:hint="eastAsia" w:ascii="仿宋" w:hAnsi="仿宋" w:eastAsia="仿宋" w:cs="仿宋"/>
                <w:sz w:val="21"/>
                <w:szCs w:val="21"/>
                <w:u w:val="single"/>
              </w:rPr>
              <w:t>90</w:t>
            </w:r>
            <w:r>
              <w:rPr>
                <w:rFonts w:hint="eastAsia" w:ascii="仿宋" w:hAnsi="仿宋" w:eastAsia="仿宋" w:cs="仿宋"/>
                <w:sz w:val="21"/>
                <w:szCs w:val="21"/>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6.1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响应文件数量：</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正本：</w:t>
            </w:r>
            <w:r>
              <w:rPr>
                <w:rFonts w:hint="eastAsia" w:ascii="仿宋" w:hAnsi="仿宋" w:eastAsia="仿宋" w:cs="仿宋"/>
                <w:sz w:val="21"/>
                <w:szCs w:val="21"/>
                <w:u w:val="single"/>
              </w:rPr>
              <w:t>1</w:t>
            </w:r>
            <w:r>
              <w:rPr>
                <w:rFonts w:hint="eastAsia" w:ascii="仿宋" w:hAnsi="仿宋" w:eastAsia="仿宋" w:cs="仿宋"/>
                <w:sz w:val="21"/>
                <w:szCs w:val="21"/>
              </w:rPr>
              <w:t>份、副本：</w:t>
            </w:r>
            <w:r>
              <w:rPr>
                <w:rFonts w:hint="eastAsia" w:ascii="仿宋" w:hAnsi="仿宋" w:eastAsia="仿宋" w:cs="仿宋"/>
                <w:sz w:val="21"/>
                <w:szCs w:val="21"/>
                <w:u w:val="single"/>
              </w:rPr>
              <w:t>2</w:t>
            </w:r>
            <w:r>
              <w:rPr>
                <w:rFonts w:hint="eastAsia" w:ascii="仿宋" w:hAnsi="仿宋" w:eastAsia="仿宋" w:cs="仿宋"/>
                <w:sz w:val="21"/>
                <w:szCs w:val="21"/>
              </w:rPr>
              <w:t>份</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u w:val="single"/>
              </w:rPr>
            </w:pPr>
            <w:r>
              <w:rPr>
                <w:rFonts w:hint="eastAsia" w:ascii="仿宋" w:hAnsi="仿宋" w:eastAsia="仿宋" w:cs="仿宋"/>
                <w:sz w:val="21"/>
                <w:szCs w:val="21"/>
              </w:rPr>
              <w:t>电子文档：</w:t>
            </w:r>
            <w:r>
              <w:rPr>
                <w:rFonts w:hint="eastAsia" w:ascii="仿宋" w:hAnsi="仿宋" w:eastAsia="仿宋" w:cs="仿宋"/>
                <w:sz w:val="21"/>
                <w:szCs w:val="21"/>
                <w:u w:val="single"/>
              </w:rPr>
              <w:t>1</w:t>
            </w:r>
            <w:r>
              <w:rPr>
                <w:rFonts w:hint="eastAsia" w:ascii="仿宋" w:hAnsi="仿宋" w:eastAsia="仿宋" w:cs="仿宋"/>
                <w:sz w:val="21"/>
                <w:szCs w:val="21"/>
              </w:rPr>
              <w:t>份（正本扫描件电子文档</w:t>
            </w:r>
            <w:r>
              <w:rPr>
                <w:rFonts w:hint="eastAsia" w:ascii="仿宋" w:hAnsi="仿宋" w:eastAsia="仿宋" w:cs="仿宋"/>
                <w:sz w:val="21"/>
                <w:szCs w:val="21"/>
                <w:u w:val="single"/>
              </w:rPr>
              <w:t>1</w:t>
            </w:r>
            <w:r>
              <w:rPr>
                <w:rFonts w:hint="eastAsia" w:ascii="仿宋" w:hAnsi="仿宋" w:eastAsia="仿宋" w:cs="仿宋"/>
                <w:sz w:val="21"/>
                <w:szCs w:val="21"/>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7.1</w:t>
            </w:r>
          </w:p>
        </w:tc>
        <w:tc>
          <w:tcPr>
            <w:tcW w:w="7774" w:type="dxa"/>
            <w:vAlign w:val="center"/>
          </w:tcPr>
          <w:p>
            <w:pPr>
              <w:pageBreakBefore w:val="0"/>
              <w:kinsoku/>
              <w:wordWrap/>
              <w:overflowPunct/>
              <w:topLinePunct w:val="0"/>
              <w:autoSpaceDE/>
              <w:autoSpaceDN/>
              <w:bidi w:val="0"/>
              <w:adjustRightInd/>
              <w:spacing w:line="360" w:lineRule="auto"/>
              <w:ind w:left="1440" w:hanging="1260" w:hangingChars="600"/>
              <w:textAlignment w:val="auto"/>
              <w:rPr>
                <w:rFonts w:hint="eastAsia" w:ascii="仿宋" w:hAnsi="仿宋" w:eastAsia="仿宋" w:cs="仿宋"/>
                <w:sz w:val="21"/>
                <w:szCs w:val="21"/>
              </w:rPr>
            </w:pPr>
            <w:r>
              <w:rPr>
                <w:rFonts w:hint="eastAsia" w:ascii="仿宋" w:hAnsi="仿宋" w:eastAsia="仿宋" w:cs="仿宋"/>
                <w:sz w:val="21"/>
                <w:szCs w:val="21"/>
              </w:rPr>
              <w:t>保证金形式：无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pageBreakBefore w:val="0"/>
              <w:kinsoku/>
              <w:wordWrap/>
              <w:overflowPunct/>
              <w:topLinePunct w:val="0"/>
              <w:autoSpaceDE/>
              <w:autoSpaceDN/>
              <w:bidi w:val="0"/>
              <w:adjustRightInd/>
              <w:spacing w:line="360" w:lineRule="auto"/>
              <w:ind w:left="268" w:leftChars="128"/>
              <w:jc w:val="center"/>
              <w:textAlignment w:val="auto"/>
              <w:rPr>
                <w:rFonts w:hint="eastAsia" w:ascii="仿宋" w:hAnsi="仿宋" w:eastAsia="仿宋" w:cs="仿宋"/>
                <w:sz w:val="21"/>
                <w:szCs w:val="21"/>
              </w:rPr>
            </w:pPr>
            <w:r>
              <w:rPr>
                <w:rFonts w:hint="eastAsia" w:ascii="仿宋" w:hAnsi="仿宋" w:eastAsia="仿宋" w:cs="仿宋"/>
                <w:sz w:val="21"/>
                <w:szCs w:val="21"/>
              </w:rPr>
              <w:t>8.1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谈判文件可以修改变动的内容：</w:t>
            </w:r>
            <w:r>
              <w:rPr>
                <w:rFonts w:hint="eastAsia" w:ascii="仿宋" w:hAnsi="仿宋" w:eastAsia="仿宋" w:cs="仿宋"/>
                <w:sz w:val="21"/>
                <w:szCs w:val="21"/>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9.1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谈判小组推荐成交候选人数量：</w:t>
            </w:r>
            <w:r>
              <w:rPr>
                <w:rFonts w:hint="eastAsia" w:ascii="仿宋" w:hAnsi="仿宋" w:eastAsia="仿宋" w:cs="仿宋"/>
                <w:sz w:val="21"/>
                <w:szCs w:val="21"/>
                <w:u w:val="single"/>
              </w:rPr>
              <w:t>1</w:t>
            </w:r>
            <w:r>
              <w:rPr>
                <w:rFonts w:hint="eastAsia" w:ascii="仿宋" w:hAnsi="仿宋" w:eastAsia="仿宋" w:cs="仿宋"/>
                <w:sz w:val="21"/>
                <w:szCs w:val="21"/>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11" w:hRule="atLeast"/>
        </w:trPr>
        <w:tc>
          <w:tcPr>
            <w:tcW w:w="9214" w:type="dxa"/>
            <w:gridSpan w:val="3"/>
            <w:tcBorders>
              <w:top w:val="single" w:color="auto" w:sz="12" w:space="0"/>
              <w:left w:val="single" w:color="auto" w:sz="12" w:space="0"/>
              <w:bottom w:val="single" w:color="auto" w:sz="12" w:space="0"/>
              <w:right w:val="single" w:color="auto" w:sz="12" w:space="0"/>
            </w:tcBorders>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适用于谈判供应商须知的额外增加的变动：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1418" w:type="dxa"/>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7796" w:type="dxa"/>
            <w:gridSpan w:val="2"/>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9214" w:type="dxa"/>
            <w:gridSpan w:val="3"/>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9214" w:type="dxa"/>
            <w:gridSpan w:val="3"/>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报名单位进行报名时，必须对现场进行踏勘，采购方不统一组织场地踏勘。对本次竟谈文件不明之处务必向采购方进行书面咨询，采购方以书面形式答复质疑问题，未进行咨询的，则视为对本竟谈文件全面理解，并自愿遵照执行，届时，不得以资料不全等理由拒绝履行相关义务</w:t>
            </w:r>
          </w:p>
        </w:tc>
      </w:tr>
    </w:tbl>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br w:type="page"/>
      </w:r>
      <w:bookmarkStart w:id="7" w:name="_Toc380479087"/>
      <w:r>
        <w:rPr>
          <w:rFonts w:hint="eastAsia" w:ascii="仿宋" w:hAnsi="仿宋" w:eastAsia="仿宋" w:cs="仿宋"/>
          <w:sz w:val="21"/>
          <w:szCs w:val="21"/>
        </w:rPr>
        <w:t>一  总 则</w:t>
      </w:r>
      <w:bookmarkEnd w:id="7"/>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8" w:name="_Toc380479088"/>
      <w:r>
        <w:rPr>
          <w:rFonts w:hint="eastAsia" w:ascii="仿宋" w:hAnsi="仿宋" w:eastAsia="仿宋" w:cs="仿宋"/>
          <w:sz w:val="21"/>
          <w:szCs w:val="21"/>
        </w:rPr>
        <w:t>1．项目简介</w:t>
      </w:r>
      <w:bookmarkEnd w:id="8"/>
    </w:p>
    <w:p>
      <w:pPr>
        <w:pageBreakBefore w:val="0"/>
        <w:kinsoku/>
        <w:wordWrap/>
        <w:overflowPunct/>
        <w:topLinePunct w:val="0"/>
        <w:autoSpaceDE/>
        <w:autoSpaceDN/>
        <w:bidi w:val="0"/>
        <w:adjustRightInd/>
        <w:spacing w:line="360" w:lineRule="auto"/>
        <w:ind w:firstLine="315" w:firstLineChars="15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我院是中国地震局直属的高等院校，地处河北省三河市燕郊经济技术开发区，因学院发展需要，拟对</w:t>
      </w:r>
      <w:r>
        <w:rPr>
          <w:rFonts w:hint="eastAsia" w:ascii="仿宋" w:hAnsi="仿宋" w:eastAsia="仿宋" w:cs="仿宋"/>
          <w:color w:val="000000"/>
          <w:kern w:val="0"/>
          <w:sz w:val="21"/>
          <w:szCs w:val="21"/>
          <w:lang w:eastAsia="zh-CN"/>
        </w:rPr>
        <w:t>以下</w:t>
      </w:r>
      <w:r>
        <w:rPr>
          <w:rFonts w:hint="eastAsia" w:ascii="仿宋" w:hAnsi="仿宋" w:eastAsia="仿宋" w:cs="仿宋"/>
          <w:color w:val="000000"/>
          <w:kern w:val="0"/>
          <w:sz w:val="21"/>
          <w:szCs w:val="21"/>
        </w:rPr>
        <w:t>项目进行采购，具体如下：</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（一）项目概况</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（一）项目地点</w:t>
      </w:r>
      <w:r>
        <w:rPr>
          <w:rFonts w:hint="eastAsia" w:ascii="仿宋" w:hAnsi="仿宋" w:eastAsia="仿宋" w:cs="仿宋"/>
          <w:color w:val="000000"/>
          <w:kern w:val="0"/>
          <w:sz w:val="21"/>
          <w:szCs w:val="21"/>
          <w:lang w:eastAsia="zh-CN"/>
        </w:rPr>
        <w:t>：防灾科技学院院内，明德楼</w:t>
      </w:r>
      <w:r>
        <w:rPr>
          <w:rFonts w:hint="eastAsia" w:ascii="仿宋" w:hAnsi="仿宋" w:eastAsia="仿宋" w:cs="仿宋"/>
          <w:color w:val="000000"/>
          <w:kern w:val="0"/>
          <w:sz w:val="21"/>
          <w:szCs w:val="21"/>
          <w:lang w:val="en-US" w:eastAsia="zh-CN"/>
        </w:rPr>
        <w:t>2台，承基楼4台，图书馆2台，长庚楼4台，望舒楼1台，天仪楼6台。</w:t>
      </w:r>
    </w:p>
    <w:p>
      <w:p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rPr>
        <w:t>（二）采购主要内容：</w:t>
      </w:r>
    </w:p>
    <w:p>
      <w:p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lang w:eastAsia="zh-CN"/>
        </w:rPr>
      </w:pPr>
      <w:r>
        <w:rPr>
          <w:rFonts w:hint="eastAsia" w:ascii="仿宋" w:hAnsi="仿宋" w:eastAsia="仿宋" w:cs="仿宋"/>
          <w:color w:val="FF0000"/>
          <w:kern w:val="0"/>
          <w:sz w:val="21"/>
          <w:szCs w:val="21"/>
          <w:lang w:eastAsia="zh-CN"/>
        </w:rPr>
        <w:t>本次采购工程主要内容：防灾科技学院院内客梯五方对改造，基本如下：</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拆除原损坏的有线五方对讲系统；</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安装无线应急对讲是主机3套；</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lang w:val="en-US" w:eastAsia="zh-CN"/>
        </w:rPr>
        <w:t>安装无线应急对讲子机（轿厢）19套；</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lang w:val="en-US" w:eastAsia="zh-CN"/>
        </w:rPr>
        <w:t>安装无线应急对讲子机（机房）19套；</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lang w:val="en-US" w:eastAsia="zh-CN"/>
        </w:rPr>
        <w:t>安装无线应急对讲子机（底坑）19套；</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lang w:val="en-US" w:eastAsia="zh-CN"/>
        </w:rPr>
        <w:t>应答子机分别设置到：a.南校区设置安装到动力中心—景观花园站值班室；b.北校区设置安装到动力中心—天仪楼站值班室。</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lang w:eastAsia="zh-CN"/>
        </w:rPr>
        <w:t>施工期限：</w:t>
      </w:r>
      <w:r>
        <w:rPr>
          <w:rFonts w:hint="eastAsia" w:ascii="仿宋" w:hAnsi="仿宋" w:eastAsia="仿宋" w:cs="仿宋"/>
          <w:color w:val="FF0000"/>
          <w:kern w:val="0"/>
          <w:sz w:val="21"/>
          <w:szCs w:val="21"/>
          <w:lang w:val="en-US" w:eastAsia="zh-CN"/>
        </w:rPr>
        <w:t>2018年11月20日至30日；</w:t>
      </w:r>
    </w:p>
    <w:p>
      <w:pPr>
        <w:numPr>
          <w:ilvl w:val="0"/>
          <w:numId w:val="0"/>
        </w:numPr>
        <w:autoSpaceDE w:val="0"/>
        <w:autoSpaceDN w:val="0"/>
        <w:adjustRightInd w:val="0"/>
        <w:spacing w:line="600" w:lineRule="exact"/>
        <w:ind w:firstLine="420" w:firstLineChars="200"/>
        <w:jc w:val="left"/>
        <w:textAlignment w:val="baseline"/>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工程量以采购人提供的工程量清单数量为准，响应人应到现场</w:t>
      </w:r>
      <w:bookmarkStart w:id="9" w:name="OLE_LINK10"/>
      <w:bookmarkStart w:id="10" w:name="OLE_LINK9"/>
      <w:r>
        <w:rPr>
          <w:rFonts w:hint="eastAsia" w:ascii="仿宋" w:hAnsi="仿宋" w:eastAsia="仿宋" w:cs="仿宋"/>
          <w:color w:val="000000"/>
          <w:kern w:val="0"/>
          <w:sz w:val="21"/>
          <w:szCs w:val="21"/>
        </w:rPr>
        <w:t>踏勘</w:t>
      </w:r>
      <w:bookmarkEnd w:id="9"/>
      <w:bookmarkEnd w:id="10"/>
      <w:r>
        <w:rPr>
          <w:rFonts w:hint="eastAsia" w:ascii="仿宋" w:hAnsi="仿宋" w:eastAsia="仿宋" w:cs="仿宋"/>
          <w:color w:val="000000"/>
          <w:kern w:val="0"/>
          <w:sz w:val="21"/>
          <w:szCs w:val="21"/>
        </w:rPr>
        <w:t>，并对采购人提供的工程量清单进行复核。如响应人经过实际勘查，实际数量与文件内容有区别，请书面提出。施工方应</w:t>
      </w:r>
      <w:r>
        <w:rPr>
          <w:rFonts w:hint="eastAsia" w:ascii="仿宋" w:hAnsi="仿宋" w:eastAsia="仿宋" w:cs="仿宋"/>
          <w:color w:val="000000"/>
          <w:kern w:val="0"/>
          <w:sz w:val="21"/>
          <w:szCs w:val="21"/>
          <w:lang w:eastAsia="zh-CN"/>
        </w:rPr>
        <w:t>按照</w:t>
      </w:r>
      <w:r>
        <w:rPr>
          <w:rFonts w:hint="eastAsia" w:ascii="仿宋" w:hAnsi="仿宋" w:eastAsia="仿宋" w:cs="仿宋"/>
          <w:color w:val="000000"/>
          <w:kern w:val="0"/>
          <w:sz w:val="21"/>
          <w:szCs w:val="21"/>
        </w:rPr>
        <w:t>达到国家法律、法规</w:t>
      </w:r>
      <w:r>
        <w:rPr>
          <w:rFonts w:hint="eastAsia" w:ascii="仿宋" w:hAnsi="仿宋" w:eastAsia="仿宋" w:cs="仿宋"/>
          <w:color w:val="000000" w:themeColor="text1"/>
          <w:kern w:val="0"/>
          <w:sz w:val="21"/>
          <w:szCs w:val="21"/>
          <w:lang w:eastAsia="zh-CN"/>
          <w14:textFill>
            <w14:solidFill>
              <w14:schemeClr w14:val="tx1"/>
            </w14:solidFill>
          </w14:textFill>
        </w:rPr>
        <w:t>批准的、电梯安装相关规范规定的、电梯设备安装改造安全</w:t>
      </w:r>
      <w:r>
        <w:rPr>
          <w:rFonts w:hint="eastAsia" w:ascii="仿宋" w:hAnsi="仿宋" w:eastAsia="仿宋" w:cs="仿宋"/>
          <w:color w:val="000000"/>
          <w:kern w:val="0"/>
          <w:sz w:val="21"/>
          <w:szCs w:val="21"/>
        </w:rPr>
        <w:t>以及采购人施工现场要求的标准。</w:t>
      </w:r>
    </w:p>
    <w:p>
      <w:p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lang w:eastAsia="zh-CN"/>
        </w:rPr>
      </w:pPr>
      <w:r>
        <w:rPr>
          <w:rFonts w:hint="eastAsia" w:ascii="仿宋" w:hAnsi="仿宋" w:eastAsia="仿宋" w:cs="仿宋"/>
          <w:b/>
          <w:bCs/>
          <w:kern w:val="0"/>
          <w:sz w:val="21"/>
          <w:szCs w:val="21"/>
        </w:rPr>
        <w:t>工程技术标准及采购需求表</w:t>
      </w:r>
      <w:r>
        <w:rPr>
          <w:rFonts w:hint="eastAsia" w:ascii="仿宋" w:hAnsi="仿宋" w:eastAsia="仿宋" w:cs="仿宋"/>
          <w:b/>
          <w:bCs/>
          <w:kern w:val="0"/>
          <w:sz w:val="21"/>
          <w:szCs w:val="21"/>
          <w:lang w:eastAsia="zh-CN"/>
        </w:rPr>
        <w:t>：</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1" w:name="_Toc380479089"/>
      <w:r>
        <w:rPr>
          <w:rFonts w:hint="eastAsia" w:ascii="仿宋" w:hAnsi="仿宋" w:eastAsia="仿宋" w:cs="仿宋"/>
          <w:sz w:val="21"/>
          <w:szCs w:val="21"/>
        </w:rPr>
        <w:t>2．合格供应商资格条件</w:t>
      </w:r>
      <w:bookmarkEnd w:id="11"/>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2.1 满足以下条件的供应商是合格的谈判供应商，可以参加本次竞争性谈判：</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（1）在中华人民共和国境内注册，能够独立承担民事责任，有生产或供应能力的本国供应商，包括企业法人、其他组织、自然人或者联合体。</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（2）具备《中华人民共和国政府采购法》第二十二条关于供应商条件的规定，具备其它法规规定的本项目供应商应当具备的资格条件。遵守国家有关法规和政府采购的有关规定。</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（3）从招标方正式获得了本项目的竞争性谈判文件。</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（4）符合</w:t>
      </w:r>
      <w:r>
        <w:rPr>
          <w:rFonts w:hint="eastAsia" w:ascii="仿宋" w:hAnsi="仿宋" w:eastAsia="仿宋" w:cs="仿宋"/>
          <w:sz w:val="21"/>
          <w:szCs w:val="21"/>
          <w:u w:val="single"/>
        </w:rPr>
        <w:t>前附表</w:t>
      </w:r>
      <w:r>
        <w:rPr>
          <w:rFonts w:hint="eastAsia" w:ascii="仿宋" w:hAnsi="仿宋" w:eastAsia="仿宋" w:cs="仿宋"/>
          <w:sz w:val="21"/>
          <w:szCs w:val="21"/>
        </w:rPr>
        <w:t>中规定的其他要求。</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（5）若</w:t>
      </w:r>
      <w:r>
        <w:rPr>
          <w:rFonts w:hint="eastAsia" w:ascii="仿宋" w:hAnsi="仿宋" w:eastAsia="仿宋" w:cs="仿宋"/>
          <w:sz w:val="21"/>
          <w:szCs w:val="21"/>
          <w:u w:val="single"/>
        </w:rPr>
        <w:t>前附表</w:t>
      </w:r>
      <w:r>
        <w:rPr>
          <w:rFonts w:hint="eastAsia" w:ascii="仿宋" w:hAnsi="仿宋" w:eastAsia="仿宋" w:cs="仿宋"/>
          <w:sz w:val="21"/>
          <w:szCs w:val="21"/>
        </w:rPr>
        <w:t>中写明专门面向中小企业采购的，如供应商所报服务为非中小企业提供，其响应文件将作为无效文件被拒绝。</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color w:val="FF0000"/>
          <w:sz w:val="21"/>
          <w:szCs w:val="21"/>
          <w:lang w:eastAsia="zh-CN"/>
        </w:rPr>
      </w:pPr>
      <w:r>
        <w:rPr>
          <w:rFonts w:hint="eastAsia" w:ascii="仿宋" w:hAnsi="仿宋" w:eastAsia="仿宋" w:cs="仿宋"/>
          <w:color w:val="FF0000"/>
          <w:sz w:val="21"/>
          <w:szCs w:val="21"/>
          <w:lang w:eastAsia="zh-CN"/>
        </w:rPr>
        <w:t>（</w:t>
      </w:r>
      <w:r>
        <w:rPr>
          <w:rFonts w:hint="eastAsia" w:ascii="仿宋" w:hAnsi="仿宋" w:eastAsia="仿宋" w:cs="仿宋"/>
          <w:color w:val="FF0000"/>
          <w:sz w:val="21"/>
          <w:szCs w:val="21"/>
          <w:lang w:val="en-US" w:eastAsia="zh-CN"/>
        </w:rPr>
        <w:t>6</w:t>
      </w:r>
      <w:r>
        <w:rPr>
          <w:rFonts w:hint="eastAsia" w:ascii="仿宋" w:hAnsi="仿宋" w:eastAsia="仿宋" w:cs="仿宋"/>
          <w:color w:val="FF0000"/>
          <w:sz w:val="21"/>
          <w:szCs w:val="21"/>
          <w:lang w:eastAsia="zh-CN"/>
        </w:rPr>
        <w:t>）供应商营业执照经营范围必须含有电梯安装、维修保养或销售等；</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 xml:space="preserve">2.2 </w:t>
      </w:r>
      <w:r>
        <w:rPr>
          <w:rFonts w:hint="eastAsia" w:ascii="仿宋" w:hAnsi="仿宋" w:eastAsia="仿宋" w:cs="仿宋"/>
          <w:sz w:val="21"/>
          <w:szCs w:val="21"/>
          <w:u w:val="single"/>
        </w:rPr>
        <w:t>前附表</w:t>
      </w:r>
      <w:r>
        <w:rPr>
          <w:rFonts w:hint="eastAsia" w:ascii="仿宋" w:hAnsi="仿宋" w:eastAsia="仿宋" w:cs="仿宋"/>
          <w:sz w:val="21"/>
          <w:szCs w:val="21"/>
        </w:rPr>
        <w:t>中是否允许联合体参加谈判。</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lang w:eastAsia="zh-CN"/>
        </w:rPr>
      </w:pPr>
      <w:r>
        <w:rPr>
          <w:rFonts w:hint="eastAsia" w:ascii="仿宋" w:hAnsi="仿宋" w:eastAsia="仿宋" w:cs="仿宋"/>
          <w:sz w:val="21"/>
          <w:szCs w:val="21"/>
        </w:rPr>
        <w:t>2.3如允许联合体参加谈判，对联合体的要求见</w:t>
      </w:r>
      <w:r>
        <w:rPr>
          <w:rFonts w:hint="eastAsia" w:ascii="仿宋" w:hAnsi="仿宋" w:eastAsia="仿宋" w:cs="仿宋"/>
          <w:sz w:val="21"/>
          <w:szCs w:val="21"/>
          <w:u w:val="single"/>
        </w:rPr>
        <w:t>前附表</w:t>
      </w:r>
      <w:r>
        <w:rPr>
          <w:rFonts w:hint="eastAsia" w:ascii="仿宋" w:hAnsi="仿宋" w:eastAsia="仿宋" w:cs="仿宋"/>
          <w:sz w:val="21"/>
          <w:szCs w:val="21"/>
        </w:rPr>
        <w:t>。</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单位负责人为同一人或者存在直接控股、管理关系的不同供应商，不得参加同一合同项下的政府采购活动。</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2" w:name="_Toc380479090"/>
      <w:r>
        <w:rPr>
          <w:rFonts w:hint="eastAsia" w:ascii="仿宋" w:hAnsi="仿宋" w:eastAsia="仿宋" w:cs="仿宋"/>
          <w:sz w:val="21"/>
          <w:szCs w:val="21"/>
        </w:rPr>
        <w:t>3．适用法律和谈判费用</w:t>
      </w:r>
      <w:bookmarkEnd w:id="12"/>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3.1 本次采购活动及由此产生的合同受《中华人民共和国政府采购法》及其他有关的法律法规制约和保护。</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3.2 谈判供应商应承担自身所有与谈判活动有关的费用，不论谈判的结果如何，在任何情况下谈判组织者均无义务和责任承担这些费用。</w:t>
      </w:r>
    </w:p>
    <w:p>
      <w:pPr>
        <w:pStyle w:val="3"/>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13" w:name="_Toc380479091"/>
      <w:r>
        <w:rPr>
          <w:rFonts w:hint="eastAsia" w:ascii="仿宋" w:hAnsi="仿宋" w:eastAsia="仿宋" w:cs="仿宋"/>
          <w:sz w:val="21"/>
          <w:szCs w:val="21"/>
        </w:rPr>
        <w:t>二  谈判文件</w:t>
      </w:r>
      <w:bookmarkEnd w:id="13"/>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4" w:name="_Toc380479092"/>
      <w:r>
        <w:rPr>
          <w:rFonts w:hint="eastAsia" w:ascii="仿宋" w:hAnsi="仿宋" w:eastAsia="仿宋" w:cs="仿宋"/>
          <w:sz w:val="21"/>
          <w:szCs w:val="21"/>
        </w:rPr>
        <w:t>4．谈判文件构成</w:t>
      </w:r>
      <w:bookmarkEnd w:id="14"/>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Cs/>
          <w:sz w:val="21"/>
          <w:szCs w:val="21"/>
        </w:rPr>
        <w:t xml:space="preserve">4.1 </w:t>
      </w:r>
      <w:r>
        <w:rPr>
          <w:rFonts w:hint="eastAsia" w:ascii="仿宋" w:hAnsi="仿宋" w:eastAsia="仿宋" w:cs="仿宋"/>
          <w:sz w:val="21"/>
          <w:szCs w:val="21"/>
        </w:rPr>
        <w:t>谈判文件包括：采购邀请（含采购公告）、谈判供应商须知、采购需求、附件。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Cs/>
          <w:sz w:val="21"/>
          <w:szCs w:val="21"/>
        </w:rPr>
        <w:t xml:space="preserve">4.2 </w:t>
      </w:r>
      <w:r>
        <w:rPr>
          <w:rFonts w:hint="eastAsia" w:ascii="仿宋" w:hAnsi="仿宋" w:eastAsia="仿宋" w:cs="仿宋"/>
          <w:sz w:val="21"/>
          <w:szCs w:val="21"/>
        </w:rPr>
        <w:t>谈判供应商应认真阅读谈判文件中各有关事项、格式、条款和规范等，按要求编制响应文件，并对其提交的响应文件的真实性、合法性承担法律责任。如果谈判供应商没有按照谈判文件的要求对谈判文件做出实质性响应，该响应文件将有可能被拒绝。</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5" w:name="_Toc380479093"/>
      <w:r>
        <w:rPr>
          <w:rFonts w:hint="eastAsia" w:ascii="仿宋" w:hAnsi="仿宋" w:eastAsia="仿宋" w:cs="仿宋"/>
          <w:sz w:val="21"/>
          <w:szCs w:val="21"/>
        </w:rPr>
        <w:t>5．谈判文件的澄清或者修改</w:t>
      </w:r>
      <w:bookmarkEnd w:id="15"/>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sz w:val="21"/>
          <w:szCs w:val="21"/>
        </w:rPr>
        <w:t>5.1 在首次提交响应文件截止时间前，</w:t>
      </w:r>
      <w:r>
        <w:rPr>
          <w:rFonts w:hint="eastAsia" w:ascii="仿宋" w:hAnsi="仿宋" w:eastAsia="仿宋" w:cs="仿宋"/>
          <w:kern w:val="0"/>
          <w:sz w:val="21"/>
          <w:szCs w:val="21"/>
        </w:rPr>
        <w:t>采购人、招标方或者谈判小组可以对已发出的谈判文件进行必要的澄清或者修改，并由招标方发出。澄清或者修改的内容作为谈判文件的组成部分。</w:t>
      </w:r>
      <w:r>
        <w:rPr>
          <w:rFonts w:hint="eastAsia" w:ascii="仿宋" w:hAnsi="仿宋" w:eastAsia="仿宋" w:cs="仿宋"/>
          <w:sz w:val="21"/>
          <w:szCs w:val="21"/>
        </w:rPr>
        <w:t>对谈判文件的修改，将以书面形式通知已获取谈判文件的每一谈判供应商。</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5.2 澄清或者修改的内容可能影响响应文件编制的，招标方将在提交首次响应文件截止之日3个工作日前通知，不足3个工作日的，将相应顺延提交首次响应文件截止时间。</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5.3 在谈判过程中，谈判小组根据与供应商谈判情况，可能对采购需求中的技术、服务要求以及合同草案条款等内容作出实质性变动。对谈判文件作出的实质性变动是谈判文件的有效组成部分，谈判小组将以书面形式同时通知所有参加谈判的供应商。供应商应当按照谈判文件的变动情况和谈判小组的要求重新提交响应文件。</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b/>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16" w:name="_Toc380479094"/>
      <w:r>
        <w:rPr>
          <w:rFonts w:hint="eastAsia" w:ascii="仿宋" w:hAnsi="仿宋" w:eastAsia="仿宋" w:cs="仿宋"/>
          <w:sz w:val="21"/>
          <w:szCs w:val="21"/>
        </w:rPr>
        <w:t>三  响应文件的编制</w:t>
      </w:r>
      <w:bookmarkEnd w:id="16"/>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7" w:name="_Toc380479095"/>
      <w:r>
        <w:rPr>
          <w:rFonts w:hint="eastAsia" w:ascii="仿宋" w:hAnsi="仿宋" w:eastAsia="仿宋" w:cs="仿宋"/>
          <w:sz w:val="21"/>
          <w:szCs w:val="21"/>
        </w:rPr>
        <w:t>6．响应文件的构成</w:t>
      </w:r>
      <w:bookmarkEnd w:id="17"/>
    </w:p>
    <w:p>
      <w:pPr>
        <w:pStyle w:val="4"/>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6.1 按照谈判文件的要求，谈判供应商首次编制的响应文件具体构成如下：</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（1）报价函；</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（2）参考报价表；</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（3）采购需求响应方案：见</w:t>
      </w:r>
      <w:r>
        <w:rPr>
          <w:rFonts w:hint="eastAsia" w:ascii="仿宋" w:hAnsi="仿宋" w:eastAsia="仿宋" w:cs="仿宋"/>
          <w:sz w:val="21"/>
          <w:szCs w:val="21"/>
          <w:u w:val="single"/>
        </w:rPr>
        <w:t>前附表</w:t>
      </w:r>
      <w:r>
        <w:rPr>
          <w:rFonts w:hint="eastAsia" w:ascii="仿宋" w:hAnsi="仿宋" w:eastAsia="仿宋" w:cs="仿宋"/>
          <w:sz w:val="21"/>
          <w:szCs w:val="21"/>
        </w:rPr>
        <w:t>要求；</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（4）合同条款应答表；</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sz w:val="21"/>
          <w:szCs w:val="21"/>
        </w:rPr>
        <w:t>（5）资格证明文件：见</w:t>
      </w:r>
      <w:r>
        <w:rPr>
          <w:rFonts w:hint="eastAsia" w:ascii="仿宋" w:hAnsi="仿宋" w:eastAsia="仿宋" w:cs="仿宋"/>
          <w:kern w:val="0"/>
          <w:sz w:val="21"/>
          <w:szCs w:val="21"/>
          <w:u w:val="single"/>
        </w:rPr>
        <w:t>前附表</w:t>
      </w:r>
      <w:r>
        <w:rPr>
          <w:rFonts w:hint="eastAsia" w:ascii="仿宋" w:hAnsi="仿宋" w:eastAsia="仿宋" w:cs="仿宋"/>
          <w:kern w:val="0"/>
          <w:sz w:val="21"/>
          <w:szCs w:val="21"/>
        </w:rPr>
        <w:t>要求；</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6</w:t>
      </w:r>
      <w:r>
        <w:rPr>
          <w:rFonts w:hint="eastAsia" w:ascii="仿宋" w:hAnsi="仿宋" w:eastAsia="仿宋" w:cs="仿宋"/>
          <w:sz w:val="21"/>
          <w:szCs w:val="21"/>
        </w:rPr>
        <w:t>）</w:t>
      </w:r>
      <w:r>
        <w:rPr>
          <w:rFonts w:hint="eastAsia" w:ascii="仿宋" w:hAnsi="仿宋" w:eastAsia="仿宋" w:cs="仿宋"/>
          <w:sz w:val="21"/>
          <w:szCs w:val="21"/>
          <w:u w:val="single"/>
        </w:rPr>
        <w:t>前附表</w:t>
      </w:r>
      <w:r>
        <w:rPr>
          <w:rFonts w:hint="eastAsia" w:ascii="仿宋" w:hAnsi="仿宋" w:eastAsia="仿宋" w:cs="仿宋"/>
          <w:sz w:val="21"/>
          <w:szCs w:val="21"/>
        </w:rPr>
        <w:t>要求的其他内容。</w:t>
      </w:r>
    </w:p>
    <w:p>
      <w:pPr>
        <w:pageBreakBefore w:val="0"/>
        <w:kinsoku/>
        <w:wordWrap/>
        <w:overflowPunct/>
        <w:topLinePunct w:val="0"/>
        <w:autoSpaceDE/>
        <w:autoSpaceDN/>
        <w:bidi w:val="0"/>
        <w:adjustRightInd/>
        <w:spacing w:line="360" w:lineRule="auto"/>
        <w:ind w:firstLine="570"/>
        <w:textAlignment w:val="auto"/>
        <w:rPr>
          <w:rFonts w:hint="eastAsia" w:ascii="仿宋" w:hAnsi="仿宋" w:eastAsia="仿宋" w:cs="仿宋"/>
          <w:b/>
          <w:sz w:val="21"/>
          <w:szCs w:val="21"/>
        </w:rPr>
      </w:pPr>
      <w:r>
        <w:rPr>
          <w:rFonts w:hint="eastAsia" w:ascii="仿宋" w:hAnsi="仿宋" w:eastAsia="仿宋" w:cs="仿宋"/>
          <w:b/>
          <w:sz w:val="21"/>
          <w:szCs w:val="21"/>
        </w:rPr>
        <w:t xml:space="preserve">以上内容均为实质性要求，谈判供应商未按上述要求编写响应文件而造成内容不完整的，视为没有对谈判文件作出实质性响应，其响应文件按无效处理。 </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8" w:name="_Toc380479096"/>
      <w:r>
        <w:rPr>
          <w:rFonts w:hint="eastAsia" w:ascii="仿宋" w:hAnsi="仿宋" w:eastAsia="仿宋" w:cs="仿宋"/>
          <w:sz w:val="21"/>
          <w:szCs w:val="21"/>
        </w:rPr>
        <w:t>7．报价</w:t>
      </w:r>
      <w:bookmarkEnd w:id="18"/>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7.1 在提交响应文件时，供应商要按照谈判文件给出的格式提供报价函和参考报价表；在谈判结束后，供应商按照谈判小组的要求及谈判文件给出的格式提供最后报价表。报价货币应为人民币。</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7.2 每项服务内容只能有一个报价，不接受具有附加条件的报价，否则其响应文件将作为无效处理。</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9" w:name="_Toc380479097"/>
      <w:r>
        <w:rPr>
          <w:rFonts w:hint="eastAsia" w:ascii="仿宋" w:hAnsi="仿宋" w:eastAsia="仿宋" w:cs="仿宋"/>
          <w:sz w:val="21"/>
          <w:szCs w:val="21"/>
        </w:rPr>
        <w:t>8. 响应文件有效期</w:t>
      </w:r>
      <w:bookmarkEnd w:id="19"/>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8.1 响应文件应自首次提交之日起，按照</w:t>
      </w:r>
      <w:r>
        <w:rPr>
          <w:rFonts w:hint="eastAsia" w:ascii="仿宋" w:hAnsi="仿宋" w:eastAsia="仿宋" w:cs="仿宋"/>
          <w:sz w:val="21"/>
          <w:szCs w:val="21"/>
          <w:u w:val="single"/>
        </w:rPr>
        <w:t>前附表</w:t>
      </w:r>
      <w:r>
        <w:rPr>
          <w:rFonts w:hint="eastAsia" w:ascii="仿宋" w:hAnsi="仿宋" w:eastAsia="仿宋" w:cs="仿宋"/>
          <w:sz w:val="21"/>
          <w:szCs w:val="21"/>
        </w:rPr>
        <w:t>中规定时间内保持有效，有效期短于要求的响应文件将按无效处理。</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20" w:name="_Toc380479098"/>
      <w:r>
        <w:rPr>
          <w:rFonts w:hint="eastAsia" w:ascii="仿宋" w:hAnsi="仿宋" w:eastAsia="仿宋" w:cs="仿宋"/>
          <w:sz w:val="21"/>
          <w:szCs w:val="21"/>
        </w:rPr>
        <w:t>四  响应文件的签署规定和递交</w:t>
      </w:r>
      <w:bookmarkEnd w:id="20"/>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1" w:name="_Toc380479099"/>
      <w:r>
        <w:rPr>
          <w:rFonts w:hint="eastAsia" w:ascii="仿宋" w:hAnsi="仿宋" w:eastAsia="仿宋" w:cs="仿宋"/>
          <w:sz w:val="21"/>
          <w:szCs w:val="21"/>
        </w:rPr>
        <w:t>9．响应文件签署及规定</w:t>
      </w:r>
      <w:bookmarkEnd w:id="21"/>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9.1 谈判供应商应按</w:t>
      </w:r>
      <w:r>
        <w:rPr>
          <w:rFonts w:hint="eastAsia" w:ascii="仿宋" w:hAnsi="仿宋" w:eastAsia="仿宋" w:cs="仿宋"/>
          <w:sz w:val="21"/>
          <w:szCs w:val="21"/>
          <w:u w:val="single"/>
        </w:rPr>
        <w:t>前附表</w:t>
      </w:r>
      <w:r>
        <w:rPr>
          <w:rFonts w:hint="eastAsia" w:ascii="仿宋" w:hAnsi="仿宋" w:eastAsia="仿宋" w:cs="仿宋"/>
          <w:sz w:val="21"/>
          <w:szCs w:val="21"/>
        </w:rPr>
        <w:t>中的规定准备和递交响应文件正本、副本和电子文档，纸质响应文件封面应注明“正本”或“副本”字样，副本可以是正本的复印件，当正本和副本之间出现差异时，以正本为准。响应文件要求胶装成册，不对活页装订。</w:t>
      </w:r>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9.2 响应文件的正本需打印或用不褪色墨水书写，并由谈判供应商的法定代表人或经其正式授权的代表按谈判文件规定签字或者加盖公章。由授权代表签字的，应附法定代表人授权书。供应商为自然人的，应当由本人签字并附身份证明。</w:t>
      </w:r>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9.3 供应商在提交响应文件截止时间前，可以对所提交的响应文件进行补充、修改或者撤回，并书面通知招标方。补充、修改的内容作为响应文件的组成部分。补充、修改的内容与响应文件不一致的，以补充、修改的内容为准。</w:t>
      </w:r>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9.4 供应商根据谈判小组的要求对响应文件中含义不明确、同类问题表述不一致或者有明显文字和计算错误的内容等做出的澄清、说明或者更正，以及谈判中根据谈判文件实质性变动重新提交的响应文件，其签署规定同9.2款要求。</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2" w:name="_Toc380479100"/>
      <w:r>
        <w:rPr>
          <w:rFonts w:hint="eastAsia" w:ascii="仿宋" w:hAnsi="仿宋" w:eastAsia="仿宋" w:cs="仿宋"/>
          <w:sz w:val="21"/>
          <w:szCs w:val="21"/>
        </w:rPr>
        <w:t>10．响应文件的递交</w:t>
      </w:r>
      <w:bookmarkEnd w:id="22"/>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sz w:val="21"/>
          <w:szCs w:val="21"/>
        </w:rPr>
        <w:t>10.1 响应文件及电子版应密封递交，封套上注明谈判供应商名称、项目编号及项目名称。首次提交的响应文件必须</w:t>
      </w:r>
      <w:r>
        <w:rPr>
          <w:rFonts w:hint="eastAsia" w:ascii="仿宋" w:hAnsi="仿宋" w:eastAsia="仿宋" w:cs="仿宋"/>
          <w:kern w:val="0"/>
          <w:sz w:val="21"/>
          <w:szCs w:val="21"/>
        </w:rPr>
        <w:t>在第一章规定的截止时间前密封送达到指定地点。在截止时间后送达的响应文件为无效文件，招标方将拒收。</w:t>
      </w:r>
    </w:p>
    <w:p>
      <w:pPr>
        <w:pageBreakBefore w:val="0"/>
        <w:kinsoku/>
        <w:wordWrap/>
        <w:overflowPunct/>
        <w:topLinePunct w:val="0"/>
        <w:autoSpaceDE/>
        <w:autoSpaceDN/>
        <w:bidi w:val="0"/>
        <w:adjustRightInd/>
        <w:spacing w:line="360" w:lineRule="auto"/>
        <w:ind w:firstLine="570"/>
        <w:textAlignment w:val="auto"/>
        <w:rPr>
          <w:rFonts w:hint="eastAsia" w:ascii="仿宋" w:hAnsi="仿宋" w:eastAsia="仿宋" w:cs="仿宋"/>
          <w:kern w:val="0"/>
          <w:sz w:val="21"/>
          <w:szCs w:val="21"/>
        </w:rPr>
      </w:pPr>
    </w:p>
    <w:p>
      <w:pPr>
        <w:pageBreakBefore w:val="0"/>
        <w:kinsoku/>
        <w:wordWrap/>
        <w:overflowPunct/>
        <w:topLinePunct w:val="0"/>
        <w:autoSpaceDE/>
        <w:autoSpaceDN/>
        <w:bidi w:val="0"/>
        <w:adjustRightInd/>
        <w:spacing w:line="360" w:lineRule="auto"/>
        <w:ind w:firstLine="570"/>
        <w:textAlignment w:val="auto"/>
        <w:rPr>
          <w:rFonts w:hint="eastAsia" w:ascii="仿宋" w:hAnsi="仿宋" w:eastAsia="仿宋" w:cs="仿宋"/>
          <w:b/>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23" w:name="_Toc380479105"/>
      <w:r>
        <w:rPr>
          <w:rFonts w:hint="eastAsia" w:ascii="仿宋" w:hAnsi="仿宋" w:eastAsia="仿宋" w:cs="仿宋"/>
          <w:sz w:val="21"/>
          <w:szCs w:val="21"/>
          <w:lang w:eastAsia="zh-CN"/>
        </w:rPr>
        <w:t>五</w:t>
      </w:r>
      <w:r>
        <w:rPr>
          <w:rFonts w:hint="eastAsia" w:ascii="仿宋" w:hAnsi="仿宋" w:eastAsia="仿宋" w:cs="仿宋"/>
          <w:sz w:val="21"/>
          <w:szCs w:val="21"/>
        </w:rPr>
        <w:t xml:space="preserve">  评审和谈判</w:t>
      </w:r>
      <w:bookmarkEnd w:id="23"/>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4" w:name="_Toc380479106"/>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．响应文件的评审与澄清</w:t>
      </w:r>
      <w:bookmarkEnd w:id="24"/>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.1谈判小组在确认了谈判文件后，按照谈判文件规定的资格条件对供应商进行资格审查，符合资格条件的供应商将被认定为参加谈判的供应商。</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.2谈判小组按照谈判文件规定的除资格条件外的其它实质性条款，对参加谈判的供应商进行有效性、完整性和响应程度的审查。未实质性响应谈判文件的供应商将按无效处理，不参加后续谈判。</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.3 出现下列情形之一的，将被认定为未实质性响应谈判文件：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（1）未按要求交纳保证金的；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（2）未按照谈判文件规定要求装订、密封、签署、盖章的；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（3）供应商在报价时采用选择性报价；</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（4）供应商不具备谈判文件中规定资格要求的；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（5）不符合法律、法规和谈判文件中规定的其他实质性要求的（本谈判文件中用*、★、※等标明为实质性要求和条件）；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（6）不良信用记录；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（7）响应文件有效期少于</w:t>
      </w:r>
      <w:r>
        <w:rPr>
          <w:rFonts w:hint="eastAsia" w:ascii="仿宋" w:hAnsi="仿宋" w:eastAsia="仿宋" w:cs="仿宋"/>
          <w:sz w:val="21"/>
          <w:szCs w:val="21"/>
          <w:u w:val="single"/>
        </w:rPr>
        <w:t>90</w:t>
      </w:r>
      <w:r>
        <w:rPr>
          <w:rFonts w:hint="eastAsia" w:ascii="仿宋" w:hAnsi="仿宋" w:eastAsia="仿宋" w:cs="仿宋"/>
          <w:sz w:val="21"/>
          <w:szCs w:val="21"/>
        </w:rPr>
        <w:t>日历天；</w:t>
      </w:r>
    </w:p>
    <w:p>
      <w:pPr>
        <w:pageBreakBefore w:val="0"/>
        <w:kinsoku/>
        <w:wordWrap/>
        <w:overflowPunct/>
        <w:topLinePunct w:val="0"/>
        <w:autoSpaceDE/>
        <w:autoSpaceDN/>
        <w:bidi w:val="0"/>
        <w:adjustRightInd/>
        <w:spacing w:line="360" w:lineRule="auto"/>
        <w:ind w:left="120" w:hanging="105" w:hangingChars="50"/>
        <w:textAlignment w:val="auto"/>
        <w:rPr>
          <w:rFonts w:hint="eastAsia" w:ascii="仿宋" w:hAnsi="仿宋" w:eastAsia="仿宋" w:cs="仿宋"/>
          <w:sz w:val="21"/>
          <w:szCs w:val="21"/>
        </w:rPr>
      </w:pPr>
      <w:r>
        <w:rPr>
          <w:rFonts w:hint="eastAsia" w:ascii="仿宋" w:hAnsi="仿宋" w:eastAsia="仿宋" w:cs="仿宋"/>
          <w:sz w:val="21"/>
          <w:szCs w:val="21"/>
        </w:rPr>
        <w:t>（8）其他法律、法规及本谈判文件规定的属于按无效处理的响应文件的情形。</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.4 如果响应文件实质上没有响应谈判文件的要求，谈判小组将予以拒绝，供应商不得通过修改或撤销不合要求的偏离或保留而使其响应文件成为实质性响应的文件。</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.5 在按照14.2的规定进行审查时，谈判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谈判小组澄清等要求的供应商如未按规定做出澄清，其风险由供应商自行承担。</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.6信用记录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.6.1招标采购单位将在开标前一天至投标截止后一小时期间查询投标人的信用记录，投标人存在不良信用记录的，其投标将被作为无效投标被拒绝。</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.6.2 不良信用记录指：投标人在“信用中国”网站（www.creditchina.gov.cn）被列入失信被执行人和重大税收违法案件当事人名单或在中国政府采购网（www.ccgp.gov.cn）被列入政府采购严重违法失信行为记录名单。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联合体投标的，联合体成员存在以上不良信用记录的，视同联合体存在不良信用记录。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6.3查询及记录方式：招标采购单位经办人和监督人员将查询网页打印、签字并存档备查。投标人不良信用记录以招标采购单位查询结果为准，招标采购单位查询之后，网站信息发生的任何变更均不再作为评标依据，投标人自行提供的与网站信息不一致的其他证明材料亦不作为评标依据。</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.7 对未被认定为参加谈判的供应商和其它未实质性响应谈判文件的供应商，谈判小组将及时告知。</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5" w:name="_Toc380479107"/>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．谈判</w:t>
      </w:r>
      <w:bookmarkEnd w:id="25"/>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.1 依据谈判文件的要求和各供应商响应文件的应答情况，谈判小组所有成员集中在通知的时间，与参加的供应商逐一进行一轮或多轮谈判。谈判小组将给予所有参加谈判的供应商平等的谈判机会。谈判小组不保证最低报价中标。</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.2 谈判包括但不限于以下内容：</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（1）谈判小组根据谈判文件要求，对照各谈判供应商提交的响应文件中技术、服务以及合同草案条款等应答情况，进行确认或者询问；</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（2）按</w:t>
      </w:r>
      <w:r>
        <w:rPr>
          <w:rFonts w:hint="eastAsia" w:ascii="仿宋" w:hAnsi="仿宋" w:eastAsia="仿宋" w:cs="仿宋"/>
          <w:sz w:val="21"/>
          <w:szCs w:val="21"/>
          <w:u w:val="single"/>
        </w:rPr>
        <w:t>前附表</w:t>
      </w:r>
      <w:r>
        <w:rPr>
          <w:rFonts w:hint="eastAsia" w:ascii="仿宋" w:hAnsi="仿宋" w:eastAsia="仿宋" w:cs="仿宋"/>
          <w:sz w:val="21"/>
          <w:szCs w:val="21"/>
        </w:rPr>
        <w:t>修改变动谈判文件，并及时以书面形式同时通知所有参加谈判的供应商；</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（3）针对修改变动的谈判文件，与所有参加谈判的供应商进行确认或者询问。</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6" w:name="_Toc380479108"/>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．保密原则</w:t>
      </w:r>
      <w:bookmarkEnd w:id="26"/>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.1 谈判小组成员以及与谈判工作有关的人员不得泄露评审和谈判过程中获悉的国家秘密、商业秘密，不得超越法规的规定向无关人员告知评审和谈判情况。</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27" w:name="_Toc380479109"/>
      <w:r>
        <w:rPr>
          <w:rFonts w:hint="eastAsia" w:ascii="仿宋" w:hAnsi="仿宋" w:eastAsia="仿宋" w:cs="仿宋"/>
          <w:sz w:val="21"/>
          <w:szCs w:val="21"/>
          <w:lang w:eastAsia="zh-CN"/>
        </w:rPr>
        <w:t>六</w:t>
      </w:r>
      <w:r>
        <w:rPr>
          <w:rFonts w:hint="eastAsia" w:ascii="仿宋" w:hAnsi="仿宋" w:eastAsia="仿宋" w:cs="仿宋"/>
          <w:sz w:val="21"/>
          <w:szCs w:val="21"/>
        </w:rPr>
        <w:t xml:space="preserve">  最后报价</w:t>
      </w:r>
      <w:bookmarkEnd w:id="27"/>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8" w:name="_Toc380479110"/>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．最后报价的提交</w:t>
      </w:r>
      <w:bookmarkEnd w:id="28"/>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14</w:t>
      </w:r>
      <w:r>
        <w:rPr>
          <w:rFonts w:hint="eastAsia" w:ascii="仿宋" w:hAnsi="仿宋" w:eastAsia="仿宋" w:cs="仿宋"/>
          <w:sz w:val="21"/>
          <w:szCs w:val="21"/>
        </w:rPr>
        <w:t>.1 谈判结束后，所有继续参加谈判的供应商应在谈判小组规定时间内提交最后报价。如果</w:t>
      </w:r>
      <w:r>
        <w:rPr>
          <w:rFonts w:hint="eastAsia" w:ascii="仿宋" w:hAnsi="仿宋" w:eastAsia="仿宋" w:cs="仿宋"/>
          <w:kern w:val="0"/>
          <w:sz w:val="21"/>
          <w:szCs w:val="21"/>
        </w:rPr>
        <w:t>谈判文件不能详细列明采购标的的技术、服务要求，谈判结束后，谈判小组将按照少数服从多数的原则投票推荐3家以上供应商的设计方案或者解决方案，并要求其在规定时间内提交最后报价。</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.2 最后报价是供应商响应文件的有效组成部分。</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.3 最后报价，须密封递交，仅需一份正本，签署规定同本</w:t>
      </w:r>
      <w:r>
        <w:rPr>
          <w:rFonts w:hint="eastAsia" w:ascii="仿宋" w:hAnsi="仿宋" w:eastAsia="仿宋" w:cs="仿宋"/>
          <w:sz w:val="21"/>
          <w:szCs w:val="21"/>
          <w:lang w:eastAsia="zh-CN"/>
        </w:rPr>
        <w:t>谈判文件</w:t>
      </w:r>
      <w:r>
        <w:rPr>
          <w:rFonts w:hint="eastAsia" w:ascii="仿宋" w:hAnsi="仿宋" w:eastAsia="仿宋" w:cs="仿宋"/>
          <w:sz w:val="21"/>
          <w:szCs w:val="21"/>
        </w:rPr>
        <w:t>要求。</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9" w:name="_Toc380479111"/>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．逾期提交的最后报价</w:t>
      </w:r>
      <w:bookmarkEnd w:id="29"/>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.1 最后报价须在谈判小组规定的时间内送达指定地点。逾期提交最后报价的谈判供应商将被取消授予合同的资格。</w:t>
      </w: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30" w:name="_Toc380479112"/>
      <w:r>
        <w:rPr>
          <w:rFonts w:hint="eastAsia" w:ascii="仿宋" w:hAnsi="仿宋" w:eastAsia="仿宋" w:cs="仿宋"/>
          <w:sz w:val="21"/>
          <w:szCs w:val="21"/>
          <w:lang w:eastAsia="zh-CN"/>
        </w:rPr>
        <w:t>七</w:t>
      </w:r>
      <w:r>
        <w:rPr>
          <w:rFonts w:hint="eastAsia" w:ascii="仿宋" w:hAnsi="仿宋" w:eastAsia="仿宋" w:cs="仿宋"/>
          <w:sz w:val="21"/>
          <w:szCs w:val="21"/>
        </w:rPr>
        <w:t xml:space="preserve">  确定成交候选供应商</w:t>
      </w:r>
      <w:bookmarkEnd w:id="30"/>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1" w:name="_Toc380479113"/>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．确定成交候选供应商原则</w:t>
      </w:r>
      <w:bookmarkEnd w:id="31"/>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.1 谈判小组从质量和服务均能满足采购文件实质性响应要求的供应商中，按照最后报价由低到高的顺序提出成交候选供应商，推荐数量见</w:t>
      </w:r>
      <w:r>
        <w:rPr>
          <w:rFonts w:hint="eastAsia" w:ascii="仿宋" w:hAnsi="仿宋" w:eastAsia="仿宋" w:cs="仿宋"/>
          <w:kern w:val="0"/>
          <w:sz w:val="21"/>
          <w:szCs w:val="21"/>
          <w:u w:val="single"/>
        </w:rPr>
        <w:t>前附表</w:t>
      </w:r>
      <w:r>
        <w:rPr>
          <w:rFonts w:hint="eastAsia" w:ascii="仿宋" w:hAnsi="仿宋" w:eastAsia="仿宋" w:cs="仿宋"/>
          <w:kern w:val="0"/>
          <w:sz w:val="21"/>
          <w:szCs w:val="21"/>
        </w:rPr>
        <w:t>。被推荐为成交候选供应商的最后报价应不高于本项目采购预算控制金额。</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.2 如出现最后报价相等的情况，由谈判小组按照少数服从多数的原则投票确定最后报价相同的成交候选供应商顺序。</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2" w:name="_Toc380479114"/>
      <w:r>
        <w:rPr>
          <w:rFonts w:hint="eastAsia" w:ascii="仿宋" w:hAnsi="仿宋" w:eastAsia="仿宋" w:cs="仿宋"/>
          <w:sz w:val="21"/>
          <w:szCs w:val="21"/>
          <w:lang w:val="en-US" w:eastAsia="zh-CN"/>
        </w:rPr>
        <w:t>17</w:t>
      </w:r>
      <w:r>
        <w:rPr>
          <w:rFonts w:hint="eastAsia" w:ascii="仿宋" w:hAnsi="仿宋" w:eastAsia="仿宋" w:cs="仿宋"/>
          <w:sz w:val="21"/>
          <w:szCs w:val="21"/>
        </w:rPr>
        <w:t>．政府采购政策功能的落实</w:t>
      </w:r>
      <w:bookmarkEnd w:id="32"/>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17</w:t>
      </w:r>
      <w:r>
        <w:rPr>
          <w:rFonts w:hint="eastAsia" w:ascii="仿宋" w:hAnsi="仿宋" w:eastAsia="仿宋" w:cs="仿宋"/>
          <w:kern w:val="0"/>
          <w:sz w:val="21"/>
          <w:szCs w:val="21"/>
        </w:rPr>
        <w:t>.1根据</w:t>
      </w:r>
      <w:r>
        <w:rPr>
          <w:rFonts w:hint="eastAsia" w:ascii="仿宋" w:hAnsi="仿宋" w:eastAsia="仿宋" w:cs="仿宋"/>
          <w:sz w:val="21"/>
          <w:szCs w:val="21"/>
        </w:rPr>
        <w:t>《政府采购促进中小企业发展暂行办法》（财库[2011]181号）和《财政部司法部关于政府采购支持监狱企业发展有关问题的通知》（财库〔2014〕68号）</w:t>
      </w:r>
      <w:r>
        <w:rPr>
          <w:rFonts w:hint="eastAsia" w:ascii="仿宋" w:hAnsi="仿宋" w:eastAsia="仿宋" w:cs="仿宋"/>
          <w:kern w:val="0"/>
          <w:sz w:val="21"/>
          <w:szCs w:val="21"/>
        </w:rPr>
        <w:t>的规定，对满足价格扣除条件且在谈判响应文件中提交了相应的</w:t>
      </w:r>
      <w:r>
        <w:rPr>
          <w:rFonts w:hint="eastAsia" w:ascii="仿宋" w:hAnsi="仿宋" w:eastAsia="仿宋" w:cs="仿宋"/>
          <w:sz w:val="21"/>
          <w:szCs w:val="21"/>
        </w:rPr>
        <w:t>谈判供应商企业类型声明函、制造商企业类型声明函</w:t>
      </w:r>
      <w:r>
        <w:rPr>
          <w:rFonts w:hint="eastAsia" w:ascii="仿宋" w:hAnsi="仿宋" w:eastAsia="仿宋" w:cs="仿宋"/>
          <w:kern w:val="0"/>
          <w:sz w:val="21"/>
          <w:szCs w:val="21"/>
        </w:rPr>
        <w:t>的小型和微型企业，其谈判最后报价将按扣除后的价格参与评审，具体扣除比例见</w:t>
      </w:r>
      <w:r>
        <w:rPr>
          <w:rFonts w:hint="eastAsia" w:ascii="仿宋" w:hAnsi="仿宋" w:eastAsia="仿宋" w:cs="仿宋"/>
          <w:kern w:val="0"/>
          <w:sz w:val="21"/>
          <w:szCs w:val="21"/>
          <w:u w:val="single"/>
        </w:rPr>
        <w:t>前附表</w:t>
      </w:r>
      <w:r>
        <w:rPr>
          <w:rFonts w:hint="eastAsia" w:ascii="仿宋" w:hAnsi="仿宋" w:eastAsia="仿宋" w:cs="仿宋"/>
          <w:kern w:val="0"/>
          <w:sz w:val="21"/>
          <w:szCs w:val="21"/>
        </w:rPr>
        <w:t>。</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3" w:name="_Toc380479115"/>
      <w:r>
        <w:rPr>
          <w:rFonts w:hint="eastAsia" w:ascii="仿宋" w:hAnsi="仿宋" w:eastAsia="仿宋" w:cs="仿宋"/>
          <w:sz w:val="21"/>
          <w:szCs w:val="21"/>
          <w:lang w:val="en-US" w:eastAsia="zh-CN"/>
        </w:rPr>
        <w:t>18</w:t>
      </w:r>
      <w:r>
        <w:rPr>
          <w:rFonts w:hint="eastAsia" w:ascii="仿宋" w:hAnsi="仿宋" w:eastAsia="仿宋" w:cs="仿宋"/>
          <w:sz w:val="21"/>
          <w:szCs w:val="21"/>
        </w:rPr>
        <w:t>．最终评价确定</w:t>
      </w:r>
      <w:bookmarkEnd w:id="33"/>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18</w:t>
      </w:r>
      <w:r>
        <w:rPr>
          <w:rFonts w:hint="eastAsia" w:ascii="仿宋" w:hAnsi="仿宋" w:eastAsia="仿宋" w:cs="仿宋"/>
          <w:kern w:val="0"/>
          <w:sz w:val="21"/>
          <w:szCs w:val="21"/>
        </w:rPr>
        <w:t>.1 采购人有权对推荐为成交候选供应商的供应商的资格条件及价格计算方面进行审查。</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18</w:t>
      </w:r>
      <w:r>
        <w:rPr>
          <w:rFonts w:hint="eastAsia" w:ascii="仿宋" w:hAnsi="仿宋" w:eastAsia="仿宋" w:cs="仿宋"/>
          <w:kern w:val="0"/>
          <w:sz w:val="21"/>
          <w:szCs w:val="21"/>
        </w:rPr>
        <w:t>.2 采购人从评审报告提出的成交候选供应商中，根据质量和服务均能满足采购文件实质性响应要求且最后报价最低的原则确定成交供应商，也可以书面授权谈判小组直接确定成交供应商。</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4" w:name="_Toc380479116"/>
      <w:r>
        <w:rPr>
          <w:rFonts w:hint="eastAsia" w:ascii="仿宋" w:hAnsi="仿宋" w:eastAsia="仿宋" w:cs="仿宋"/>
          <w:sz w:val="21"/>
          <w:szCs w:val="21"/>
          <w:lang w:val="en-US" w:eastAsia="zh-CN"/>
        </w:rPr>
        <w:t>19</w:t>
      </w:r>
      <w:r>
        <w:rPr>
          <w:rFonts w:hint="eastAsia" w:ascii="仿宋" w:hAnsi="仿宋" w:eastAsia="仿宋" w:cs="仿宋"/>
          <w:sz w:val="21"/>
          <w:szCs w:val="21"/>
        </w:rPr>
        <w:t>．签订合同</w:t>
      </w:r>
      <w:bookmarkEnd w:id="34"/>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19</w:t>
      </w:r>
      <w:r>
        <w:rPr>
          <w:rFonts w:hint="eastAsia" w:ascii="仿宋" w:hAnsi="仿宋" w:eastAsia="仿宋" w:cs="仿宋"/>
          <w:sz w:val="21"/>
          <w:szCs w:val="21"/>
        </w:rPr>
        <w:t>.1 采购方将以书面形式向成交供应商发出结果通知。</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19</w:t>
      </w:r>
      <w:r>
        <w:rPr>
          <w:rFonts w:hint="eastAsia" w:ascii="仿宋" w:hAnsi="仿宋" w:eastAsia="仿宋" w:cs="仿宋"/>
          <w:sz w:val="21"/>
          <w:szCs w:val="21"/>
        </w:rPr>
        <w:t>.2 成交结果通知书发出后，采购人将与成交供应商签订合同。</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5" w:name="_Toc380479117"/>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 采购终止</w:t>
      </w:r>
      <w:bookmarkEnd w:id="35"/>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.1 出现下列情形之一的，采购人或者招标方将终止竞争性谈判采购活动，发布项目终止公告并说明原因，重新开展采购活动：</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（1）在采购活动中因重大变故，采购任务取消的；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 因情况变化，不再符合规定的竞争性谈判采购方式适用情形的；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（3）出现影响采购公正的违法、违规行为的；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（4）在采购过程中符合竞争要求的供应商或者报价未超过采购预算的供应商不足3家的，但公开招标的项目，招标过程中提交投标文件或者经评审实质性响应招标文件要求的供应商只有2家的情形除外；</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（5）谈判小组未确认谈判文件的。</w:t>
      </w:r>
      <w:bookmarkStart w:id="36" w:name="_Toc380479120"/>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t>第三章  采购需求</w:t>
      </w:r>
      <w:bookmarkEnd w:id="36"/>
    </w:p>
    <w:tbl>
      <w:tblPr>
        <w:tblStyle w:val="18"/>
        <w:tblW w:w="9858" w:type="dxa"/>
        <w:jc w:val="center"/>
        <w:tblInd w:w="93" w:type="dxa"/>
        <w:tblLayout w:type="fixed"/>
        <w:tblCellMar>
          <w:top w:w="0" w:type="dxa"/>
          <w:left w:w="108" w:type="dxa"/>
          <w:bottom w:w="0" w:type="dxa"/>
          <w:right w:w="108" w:type="dxa"/>
        </w:tblCellMar>
      </w:tblPr>
      <w:tblGrid>
        <w:gridCol w:w="500"/>
        <w:gridCol w:w="1782"/>
        <w:gridCol w:w="3118"/>
        <w:gridCol w:w="680"/>
        <w:gridCol w:w="937"/>
        <w:gridCol w:w="850"/>
        <w:gridCol w:w="788"/>
        <w:gridCol w:w="1203"/>
      </w:tblGrid>
      <w:tr>
        <w:tblPrEx>
          <w:tblLayout w:type="fixed"/>
          <w:tblCellMar>
            <w:top w:w="0" w:type="dxa"/>
            <w:left w:w="108" w:type="dxa"/>
            <w:bottom w:w="0" w:type="dxa"/>
            <w:right w:w="108" w:type="dxa"/>
          </w:tblCellMar>
        </w:tblPrEx>
        <w:trPr>
          <w:trHeight w:val="81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序号</w:t>
            </w:r>
          </w:p>
        </w:tc>
        <w:tc>
          <w:tcPr>
            <w:tcW w:w="178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工程内容及名称</w:t>
            </w:r>
          </w:p>
        </w:tc>
        <w:tc>
          <w:tcPr>
            <w:tcW w:w="311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项目特征描述及工艺说明</w:t>
            </w:r>
          </w:p>
        </w:tc>
        <w:tc>
          <w:tcPr>
            <w:tcW w:w="68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单 位</w:t>
            </w:r>
          </w:p>
        </w:tc>
        <w:tc>
          <w:tcPr>
            <w:tcW w:w="937"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数 量</w:t>
            </w:r>
          </w:p>
        </w:tc>
        <w:tc>
          <w:tcPr>
            <w:tcW w:w="85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单 价（元）</w:t>
            </w:r>
          </w:p>
        </w:tc>
        <w:tc>
          <w:tcPr>
            <w:tcW w:w="78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合 价（元）</w:t>
            </w:r>
          </w:p>
        </w:tc>
        <w:tc>
          <w:tcPr>
            <w:tcW w:w="1203"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 xml:space="preserve">备  注 </w:t>
            </w:r>
          </w:p>
        </w:tc>
      </w:tr>
      <w:tr>
        <w:tblPrEx>
          <w:tblLayout w:type="fixed"/>
          <w:tblCellMar>
            <w:top w:w="0" w:type="dxa"/>
            <w:left w:w="108" w:type="dxa"/>
            <w:bottom w:w="0" w:type="dxa"/>
            <w:right w:w="108" w:type="dxa"/>
          </w:tblCellMar>
        </w:tblPrEx>
        <w:trPr>
          <w:trHeight w:val="407"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82" w:type="dxa"/>
            <w:vMerge w:val="restart"/>
            <w:tcBorders>
              <w:top w:val="nil"/>
              <w:left w:val="nil"/>
              <w:right w:val="single" w:color="auto" w:sz="4" w:space="0"/>
            </w:tcBorders>
            <w:vAlign w:val="center"/>
          </w:tcPr>
          <w:p>
            <w:pPr>
              <w:spacing w:line="360" w:lineRule="auto"/>
              <w:jc w:val="center"/>
              <w:rPr>
                <w:rFonts w:hint="eastAsia" w:ascii="仿宋" w:hAnsi="仿宋" w:eastAsia="仿宋" w:cs="仿宋"/>
                <w:color w:val="FF0000"/>
                <w:kern w:val="0"/>
                <w:sz w:val="21"/>
                <w:szCs w:val="21"/>
                <w:lang w:eastAsia="zh-CN"/>
              </w:rPr>
            </w:pPr>
            <w:r>
              <w:rPr>
                <w:rFonts w:hint="eastAsia" w:ascii="仿宋" w:hAnsi="仿宋" w:eastAsia="仿宋" w:cs="仿宋"/>
                <w:color w:val="FF0000"/>
                <w:sz w:val="21"/>
                <w:szCs w:val="21"/>
                <w:lang w:eastAsia="zh-CN"/>
              </w:rPr>
              <w:t>防灾科技学院</w:t>
            </w:r>
            <w:r>
              <w:rPr>
                <w:rFonts w:hint="eastAsia" w:ascii="仿宋" w:hAnsi="仿宋" w:eastAsia="仿宋" w:cs="仿宋"/>
                <w:color w:val="FF0000"/>
                <w:sz w:val="21"/>
                <w:szCs w:val="21"/>
                <w:lang w:val="en-US" w:eastAsia="zh-CN"/>
              </w:rPr>
              <w:t>19部电梯五方对讲应急系统改造</w:t>
            </w:r>
          </w:p>
        </w:tc>
        <w:tc>
          <w:tcPr>
            <w:tcW w:w="3118"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val="en-US" w:eastAsia="zh-CN"/>
              </w:rPr>
            </w:pPr>
            <w:r>
              <w:rPr>
                <w:rFonts w:hint="eastAsia" w:ascii="仿宋" w:hAnsi="仿宋" w:eastAsia="仿宋" w:cs="仿宋"/>
                <w:color w:val="FF0000"/>
                <w:sz w:val="21"/>
                <w:szCs w:val="21"/>
                <w:vertAlign w:val="baseline"/>
                <w:lang w:val="en-US" w:eastAsia="zh-CN"/>
              </w:rPr>
              <w:t>更换长庚楼东芝电梯控制主板</w:t>
            </w:r>
          </w:p>
        </w:tc>
        <w:tc>
          <w:tcPr>
            <w:tcW w:w="680"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eastAsia="zh-CN"/>
              </w:rPr>
            </w:pPr>
            <w:r>
              <w:rPr>
                <w:rFonts w:hint="eastAsia" w:ascii="仿宋" w:hAnsi="仿宋" w:eastAsia="仿宋" w:cs="仿宋"/>
                <w:color w:val="FF0000"/>
                <w:sz w:val="21"/>
                <w:szCs w:val="21"/>
                <w:vertAlign w:val="baseline"/>
                <w:lang w:val="en-US" w:eastAsia="zh-CN"/>
              </w:rPr>
              <w:t>套</w:t>
            </w:r>
          </w:p>
        </w:tc>
        <w:tc>
          <w:tcPr>
            <w:tcW w:w="937"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1</w:t>
            </w:r>
          </w:p>
        </w:tc>
        <w:tc>
          <w:tcPr>
            <w:tcW w:w="85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78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12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FF0000"/>
                <w:kern w:val="0"/>
                <w:sz w:val="21"/>
                <w:szCs w:val="21"/>
                <w:lang w:eastAsia="zh-CN"/>
              </w:rPr>
            </w:pPr>
          </w:p>
        </w:tc>
      </w:tr>
      <w:tr>
        <w:tblPrEx>
          <w:tblLayout w:type="fixed"/>
          <w:tblCellMar>
            <w:top w:w="0" w:type="dxa"/>
            <w:left w:w="108" w:type="dxa"/>
            <w:bottom w:w="0" w:type="dxa"/>
            <w:right w:w="108" w:type="dxa"/>
          </w:tblCellMar>
        </w:tblPrEx>
        <w:trPr>
          <w:trHeight w:val="407"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82" w:type="dxa"/>
            <w:vMerge w:val="continue"/>
            <w:tcBorders>
              <w:left w:val="nil"/>
              <w:right w:val="single" w:color="auto" w:sz="4" w:space="0"/>
            </w:tcBorders>
            <w:vAlign w:val="top"/>
          </w:tcPr>
          <w:p>
            <w:pPr>
              <w:spacing w:line="360" w:lineRule="auto"/>
              <w:rPr>
                <w:rFonts w:hint="eastAsia" w:ascii="仿宋" w:hAnsi="仿宋" w:eastAsia="仿宋" w:cs="仿宋"/>
                <w:color w:val="FF0000"/>
                <w:kern w:val="0"/>
                <w:sz w:val="21"/>
                <w:szCs w:val="21"/>
                <w:lang w:eastAsia="zh-CN"/>
              </w:rPr>
            </w:pPr>
          </w:p>
        </w:tc>
        <w:tc>
          <w:tcPr>
            <w:tcW w:w="3118"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更换长庚楼电梯轿厢选层控制板</w:t>
            </w:r>
          </w:p>
        </w:tc>
        <w:tc>
          <w:tcPr>
            <w:tcW w:w="680"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块</w:t>
            </w:r>
          </w:p>
        </w:tc>
        <w:tc>
          <w:tcPr>
            <w:tcW w:w="937"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1</w:t>
            </w:r>
          </w:p>
        </w:tc>
        <w:tc>
          <w:tcPr>
            <w:tcW w:w="85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78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12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FF0000"/>
                <w:kern w:val="0"/>
                <w:sz w:val="21"/>
                <w:szCs w:val="21"/>
                <w:lang w:eastAsia="zh-CN"/>
              </w:rPr>
            </w:pPr>
          </w:p>
        </w:tc>
      </w:tr>
      <w:tr>
        <w:tblPrEx>
          <w:tblLayout w:type="fixed"/>
          <w:tblCellMar>
            <w:top w:w="0" w:type="dxa"/>
            <w:left w:w="108" w:type="dxa"/>
            <w:bottom w:w="0" w:type="dxa"/>
            <w:right w:w="108" w:type="dxa"/>
          </w:tblCellMar>
        </w:tblPrEx>
        <w:trPr>
          <w:trHeight w:val="407"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82" w:type="dxa"/>
            <w:vMerge w:val="continue"/>
            <w:tcBorders>
              <w:left w:val="nil"/>
              <w:right w:val="single" w:color="auto" w:sz="4" w:space="0"/>
            </w:tcBorders>
            <w:vAlign w:val="top"/>
          </w:tcPr>
          <w:p>
            <w:pPr>
              <w:spacing w:line="360" w:lineRule="auto"/>
              <w:rPr>
                <w:rFonts w:hint="eastAsia" w:ascii="仿宋" w:hAnsi="仿宋" w:eastAsia="仿宋" w:cs="仿宋"/>
                <w:color w:val="FF0000"/>
                <w:kern w:val="0"/>
                <w:sz w:val="21"/>
                <w:szCs w:val="21"/>
                <w:lang w:eastAsia="zh-CN"/>
              </w:rPr>
            </w:pPr>
          </w:p>
        </w:tc>
        <w:tc>
          <w:tcPr>
            <w:tcW w:w="3118"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更换长庚楼电梯厅外召唤箱电路板</w:t>
            </w:r>
          </w:p>
        </w:tc>
        <w:tc>
          <w:tcPr>
            <w:tcW w:w="680"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块</w:t>
            </w:r>
          </w:p>
        </w:tc>
        <w:tc>
          <w:tcPr>
            <w:tcW w:w="937"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5</w:t>
            </w:r>
          </w:p>
        </w:tc>
        <w:tc>
          <w:tcPr>
            <w:tcW w:w="85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78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12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FF0000"/>
                <w:kern w:val="0"/>
                <w:sz w:val="21"/>
                <w:szCs w:val="21"/>
                <w:lang w:eastAsia="zh-CN"/>
              </w:rPr>
            </w:pPr>
          </w:p>
        </w:tc>
      </w:tr>
      <w:tr>
        <w:tblPrEx>
          <w:tblLayout w:type="fixed"/>
          <w:tblCellMar>
            <w:top w:w="0" w:type="dxa"/>
            <w:left w:w="108" w:type="dxa"/>
            <w:bottom w:w="0" w:type="dxa"/>
            <w:right w:w="108" w:type="dxa"/>
          </w:tblCellMar>
        </w:tblPrEx>
        <w:trPr>
          <w:trHeight w:val="407"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82" w:type="dxa"/>
            <w:vMerge w:val="continue"/>
            <w:tcBorders>
              <w:left w:val="nil"/>
              <w:right w:val="single" w:color="auto" w:sz="4" w:space="0"/>
            </w:tcBorders>
            <w:vAlign w:val="top"/>
          </w:tcPr>
          <w:p>
            <w:pPr>
              <w:spacing w:line="360" w:lineRule="auto"/>
              <w:rPr>
                <w:rFonts w:hint="eastAsia" w:ascii="仿宋" w:hAnsi="仿宋" w:eastAsia="仿宋" w:cs="仿宋"/>
                <w:color w:val="FF0000"/>
                <w:kern w:val="0"/>
                <w:sz w:val="21"/>
                <w:szCs w:val="21"/>
                <w:lang w:eastAsia="zh-CN"/>
              </w:rPr>
            </w:pPr>
          </w:p>
        </w:tc>
        <w:tc>
          <w:tcPr>
            <w:tcW w:w="3118"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更换长庚楼电梯变频器内模块</w:t>
            </w:r>
          </w:p>
        </w:tc>
        <w:tc>
          <w:tcPr>
            <w:tcW w:w="680"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块</w:t>
            </w:r>
          </w:p>
        </w:tc>
        <w:tc>
          <w:tcPr>
            <w:tcW w:w="937"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1</w:t>
            </w:r>
          </w:p>
        </w:tc>
        <w:tc>
          <w:tcPr>
            <w:tcW w:w="85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78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12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FF0000"/>
                <w:kern w:val="0"/>
                <w:sz w:val="21"/>
                <w:szCs w:val="21"/>
                <w:lang w:eastAsia="zh-CN"/>
              </w:rPr>
            </w:pPr>
          </w:p>
        </w:tc>
      </w:tr>
      <w:tr>
        <w:tblPrEx>
          <w:tblLayout w:type="fixed"/>
          <w:tblCellMar>
            <w:top w:w="0" w:type="dxa"/>
            <w:left w:w="108" w:type="dxa"/>
            <w:bottom w:w="0" w:type="dxa"/>
            <w:right w:w="108" w:type="dxa"/>
          </w:tblCellMar>
        </w:tblPrEx>
        <w:trPr>
          <w:trHeight w:val="407"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82" w:type="dxa"/>
            <w:vMerge w:val="continue"/>
            <w:tcBorders>
              <w:left w:val="nil"/>
              <w:right w:val="single" w:color="auto" w:sz="4" w:space="0"/>
            </w:tcBorders>
            <w:vAlign w:val="top"/>
          </w:tcPr>
          <w:p>
            <w:pPr>
              <w:spacing w:line="360" w:lineRule="auto"/>
              <w:rPr>
                <w:rFonts w:hint="eastAsia" w:ascii="仿宋" w:hAnsi="仿宋" w:eastAsia="仿宋" w:cs="仿宋"/>
                <w:color w:val="FF0000"/>
                <w:kern w:val="0"/>
                <w:sz w:val="21"/>
                <w:szCs w:val="21"/>
                <w:lang w:eastAsia="zh-CN"/>
              </w:rPr>
            </w:pPr>
          </w:p>
        </w:tc>
        <w:tc>
          <w:tcPr>
            <w:tcW w:w="3118"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更换长庚楼电梯过载整流桥</w:t>
            </w:r>
          </w:p>
        </w:tc>
        <w:tc>
          <w:tcPr>
            <w:tcW w:w="680"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块</w:t>
            </w:r>
          </w:p>
        </w:tc>
        <w:tc>
          <w:tcPr>
            <w:tcW w:w="937"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1</w:t>
            </w:r>
          </w:p>
        </w:tc>
        <w:tc>
          <w:tcPr>
            <w:tcW w:w="85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78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12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FF0000"/>
                <w:kern w:val="0"/>
                <w:sz w:val="21"/>
                <w:szCs w:val="21"/>
                <w:lang w:eastAsia="zh-CN"/>
              </w:rPr>
            </w:pPr>
          </w:p>
        </w:tc>
      </w:tr>
      <w:tr>
        <w:tblPrEx>
          <w:tblLayout w:type="fixed"/>
          <w:tblCellMar>
            <w:top w:w="0" w:type="dxa"/>
            <w:left w:w="108" w:type="dxa"/>
            <w:bottom w:w="0" w:type="dxa"/>
            <w:right w:w="108" w:type="dxa"/>
          </w:tblCellMar>
        </w:tblPrEx>
        <w:trPr>
          <w:trHeight w:val="407"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82" w:type="dxa"/>
            <w:vMerge w:val="continue"/>
            <w:tcBorders>
              <w:left w:val="nil"/>
              <w:right w:val="single" w:color="auto" w:sz="4" w:space="0"/>
            </w:tcBorders>
            <w:vAlign w:val="top"/>
          </w:tcPr>
          <w:p>
            <w:pPr>
              <w:spacing w:line="360" w:lineRule="auto"/>
              <w:rPr>
                <w:rFonts w:hint="eastAsia" w:ascii="仿宋" w:hAnsi="仿宋" w:eastAsia="仿宋" w:cs="仿宋"/>
                <w:color w:val="FF0000"/>
                <w:kern w:val="0"/>
                <w:sz w:val="21"/>
                <w:szCs w:val="21"/>
                <w:lang w:eastAsia="zh-CN"/>
              </w:rPr>
            </w:pPr>
          </w:p>
        </w:tc>
        <w:tc>
          <w:tcPr>
            <w:tcW w:w="3118"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安装无线应急对讲主板</w:t>
            </w:r>
          </w:p>
        </w:tc>
        <w:tc>
          <w:tcPr>
            <w:tcW w:w="680"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套</w:t>
            </w:r>
          </w:p>
        </w:tc>
        <w:tc>
          <w:tcPr>
            <w:tcW w:w="937"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2</w:t>
            </w:r>
          </w:p>
        </w:tc>
        <w:tc>
          <w:tcPr>
            <w:tcW w:w="85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78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12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FF0000"/>
                <w:kern w:val="0"/>
                <w:sz w:val="21"/>
                <w:szCs w:val="21"/>
                <w:lang w:eastAsia="zh-CN"/>
              </w:rPr>
            </w:pPr>
          </w:p>
        </w:tc>
      </w:tr>
      <w:tr>
        <w:tblPrEx>
          <w:tblLayout w:type="fixed"/>
          <w:tblCellMar>
            <w:top w:w="0" w:type="dxa"/>
            <w:left w:w="108" w:type="dxa"/>
            <w:bottom w:w="0" w:type="dxa"/>
            <w:right w:w="108" w:type="dxa"/>
          </w:tblCellMar>
        </w:tblPrEx>
        <w:trPr>
          <w:trHeight w:val="407"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82" w:type="dxa"/>
            <w:vMerge w:val="continue"/>
            <w:tcBorders>
              <w:left w:val="nil"/>
              <w:right w:val="single" w:color="auto" w:sz="4" w:space="0"/>
            </w:tcBorders>
            <w:vAlign w:val="top"/>
          </w:tcPr>
          <w:p>
            <w:pPr>
              <w:spacing w:line="360" w:lineRule="auto"/>
              <w:rPr>
                <w:rFonts w:hint="eastAsia" w:ascii="仿宋" w:hAnsi="仿宋" w:eastAsia="仿宋" w:cs="仿宋"/>
                <w:color w:val="FF0000"/>
                <w:kern w:val="0"/>
                <w:sz w:val="21"/>
                <w:szCs w:val="21"/>
                <w:lang w:eastAsia="zh-CN"/>
              </w:rPr>
            </w:pPr>
          </w:p>
        </w:tc>
        <w:tc>
          <w:tcPr>
            <w:tcW w:w="3118"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安装无线应急对讲子机（轿厢）</w:t>
            </w:r>
          </w:p>
        </w:tc>
        <w:tc>
          <w:tcPr>
            <w:tcW w:w="680"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套</w:t>
            </w:r>
          </w:p>
        </w:tc>
        <w:tc>
          <w:tcPr>
            <w:tcW w:w="937"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19</w:t>
            </w:r>
          </w:p>
        </w:tc>
        <w:tc>
          <w:tcPr>
            <w:tcW w:w="85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78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12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FF0000"/>
                <w:kern w:val="0"/>
                <w:sz w:val="21"/>
                <w:szCs w:val="21"/>
                <w:lang w:eastAsia="zh-CN"/>
              </w:rPr>
            </w:pPr>
          </w:p>
        </w:tc>
      </w:tr>
      <w:tr>
        <w:tblPrEx>
          <w:tblLayout w:type="fixed"/>
          <w:tblCellMar>
            <w:top w:w="0" w:type="dxa"/>
            <w:left w:w="108" w:type="dxa"/>
            <w:bottom w:w="0" w:type="dxa"/>
            <w:right w:w="108" w:type="dxa"/>
          </w:tblCellMar>
        </w:tblPrEx>
        <w:trPr>
          <w:trHeight w:val="471"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82" w:type="dxa"/>
            <w:vMerge w:val="continue"/>
            <w:tcBorders>
              <w:left w:val="nil"/>
              <w:right w:val="single" w:color="auto" w:sz="4" w:space="0"/>
            </w:tcBorders>
            <w:vAlign w:val="top"/>
          </w:tcPr>
          <w:p>
            <w:pPr>
              <w:spacing w:line="360" w:lineRule="auto"/>
              <w:rPr>
                <w:rFonts w:hint="eastAsia" w:ascii="仿宋" w:hAnsi="仿宋" w:eastAsia="仿宋" w:cs="仿宋"/>
                <w:color w:val="FF0000"/>
                <w:kern w:val="0"/>
                <w:sz w:val="21"/>
                <w:szCs w:val="21"/>
                <w:lang w:eastAsia="zh-CN"/>
              </w:rPr>
            </w:pPr>
          </w:p>
        </w:tc>
        <w:tc>
          <w:tcPr>
            <w:tcW w:w="3118"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安装无线应急对讲子机（机房）</w:t>
            </w:r>
          </w:p>
        </w:tc>
        <w:tc>
          <w:tcPr>
            <w:tcW w:w="680"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套</w:t>
            </w:r>
          </w:p>
        </w:tc>
        <w:tc>
          <w:tcPr>
            <w:tcW w:w="937"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19</w:t>
            </w:r>
          </w:p>
        </w:tc>
        <w:tc>
          <w:tcPr>
            <w:tcW w:w="85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78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12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FF0000"/>
                <w:kern w:val="0"/>
                <w:sz w:val="21"/>
                <w:szCs w:val="21"/>
                <w:lang w:eastAsia="zh-CN"/>
              </w:rPr>
            </w:pPr>
          </w:p>
        </w:tc>
      </w:tr>
      <w:tr>
        <w:tblPrEx>
          <w:tblLayout w:type="fixed"/>
          <w:tblCellMar>
            <w:top w:w="0" w:type="dxa"/>
            <w:left w:w="108" w:type="dxa"/>
            <w:bottom w:w="0" w:type="dxa"/>
            <w:right w:w="108" w:type="dxa"/>
          </w:tblCellMar>
        </w:tblPrEx>
        <w:trPr>
          <w:trHeight w:val="407"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82" w:type="dxa"/>
            <w:vMerge w:val="continue"/>
            <w:tcBorders>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eastAsia="zh-CN"/>
              </w:rPr>
            </w:pPr>
          </w:p>
        </w:tc>
        <w:tc>
          <w:tcPr>
            <w:tcW w:w="3118"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安装无线应急对讲子机（底坑）</w:t>
            </w:r>
          </w:p>
        </w:tc>
        <w:tc>
          <w:tcPr>
            <w:tcW w:w="680"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套</w:t>
            </w:r>
          </w:p>
        </w:tc>
        <w:tc>
          <w:tcPr>
            <w:tcW w:w="937" w:type="dxa"/>
            <w:tcBorders>
              <w:top w:val="nil"/>
              <w:left w:val="nil"/>
              <w:bottom w:val="single" w:color="auto" w:sz="4" w:space="0"/>
              <w:right w:val="single" w:color="auto" w:sz="4" w:space="0"/>
            </w:tcBorders>
            <w:vAlign w:val="top"/>
          </w:tcPr>
          <w:p>
            <w:pPr>
              <w:spacing w:line="360" w:lineRule="auto"/>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19</w:t>
            </w:r>
          </w:p>
        </w:tc>
        <w:tc>
          <w:tcPr>
            <w:tcW w:w="85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78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12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FF0000"/>
                <w:kern w:val="0"/>
                <w:sz w:val="21"/>
                <w:szCs w:val="21"/>
                <w:lang w:eastAsia="zh-CN"/>
              </w:rPr>
            </w:pPr>
          </w:p>
        </w:tc>
      </w:tr>
      <w:tr>
        <w:tblPrEx>
          <w:tblLayout w:type="fixed"/>
          <w:tblCellMar>
            <w:top w:w="0" w:type="dxa"/>
            <w:left w:w="108" w:type="dxa"/>
            <w:bottom w:w="0" w:type="dxa"/>
            <w:right w:w="108" w:type="dxa"/>
          </w:tblCellMar>
        </w:tblPrEx>
        <w:trPr>
          <w:trHeight w:val="270" w:hRule="atLeast"/>
          <w:jc w:val="center"/>
        </w:trPr>
        <w:tc>
          <w:tcPr>
            <w:tcW w:w="500" w:type="dxa"/>
            <w:tcBorders>
              <w:top w:val="single" w:color="auto" w:sz="4" w:space="0"/>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782" w:type="dxa"/>
            <w:tcBorders>
              <w:top w:val="single" w:color="auto" w:sz="4" w:space="0"/>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118" w:type="dxa"/>
            <w:tcBorders>
              <w:top w:val="single" w:color="auto" w:sz="4" w:space="0"/>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680" w:type="dxa"/>
            <w:tcBorders>
              <w:top w:val="single" w:color="auto" w:sz="4" w:space="0"/>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937"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50"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88"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03"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525" w:hRule="atLeast"/>
          <w:jc w:val="center"/>
        </w:trPr>
        <w:tc>
          <w:tcPr>
            <w:tcW w:w="9858" w:type="dxa"/>
            <w:gridSpan w:val="8"/>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上述报价有效期为</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个自然日。</w:t>
            </w:r>
          </w:p>
        </w:tc>
      </w:tr>
      <w:tr>
        <w:tblPrEx>
          <w:tblLayout w:type="fixed"/>
          <w:tblCellMar>
            <w:top w:w="0" w:type="dxa"/>
            <w:left w:w="108" w:type="dxa"/>
            <w:bottom w:w="0" w:type="dxa"/>
            <w:right w:w="108" w:type="dxa"/>
          </w:tblCellMar>
        </w:tblPrEx>
        <w:trPr>
          <w:trHeight w:val="525" w:hRule="atLeast"/>
          <w:jc w:val="center"/>
        </w:trPr>
        <w:tc>
          <w:tcPr>
            <w:tcW w:w="9858" w:type="dxa"/>
            <w:gridSpan w:val="8"/>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如我公司中标，签订施工协议后</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个自然日后竣工。</w:t>
            </w:r>
          </w:p>
        </w:tc>
      </w:tr>
      <w:tr>
        <w:tblPrEx>
          <w:tblLayout w:type="fixed"/>
          <w:tblCellMar>
            <w:top w:w="0" w:type="dxa"/>
            <w:left w:w="108" w:type="dxa"/>
            <w:bottom w:w="0" w:type="dxa"/>
            <w:right w:w="108" w:type="dxa"/>
          </w:tblCellMar>
        </w:tblPrEx>
        <w:trPr>
          <w:trHeight w:val="525" w:hRule="atLeast"/>
          <w:jc w:val="center"/>
        </w:trPr>
        <w:tc>
          <w:tcPr>
            <w:tcW w:w="9858" w:type="dxa"/>
            <w:gridSpan w:val="8"/>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p>
        </w:tc>
      </w:tr>
    </w:tbl>
    <w:p>
      <w:pPr>
        <w:spacing w:line="360" w:lineRule="auto"/>
        <w:rPr>
          <w:rFonts w:hint="eastAsia" w:ascii="黑体" w:hAnsi="黑体" w:eastAsia="黑体" w:cs="黑体"/>
          <w:sz w:val="24"/>
          <w:szCs w:val="24"/>
          <w:lang w:val="en-US" w:eastAsia="zh-CN"/>
        </w:rPr>
      </w:pPr>
      <w:bookmarkStart w:id="37" w:name="_Toc380479151"/>
      <w:r>
        <w:rPr>
          <w:rFonts w:hint="eastAsia" w:ascii="仿宋" w:hAnsi="仿宋" w:eastAsia="仿宋" w:cs="仿宋"/>
          <w:sz w:val="24"/>
          <w:szCs w:val="24"/>
          <w:lang w:val="en-US" w:eastAsia="zh-CN"/>
        </w:rPr>
        <w:t>附件（2）</w:t>
      </w:r>
      <w:r>
        <w:rPr>
          <w:rFonts w:hint="eastAsia" w:ascii="黑体" w:hAnsi="黑体" w:eastAsia="黑体" w:cs="黑体"/>
          <w:sz w:val="24"/>
          <w:szCs w:val="24"/>
          <w:lang w:val="en-US" w:eastAsia="zh-CN"/>
        </w:rPr>
        <w:t>电梯应急对讲国家规范要求相关条例</w:t>
      </w:r>
    </w:p>
    <w:p>
      <w:pPr>
        <w:spacing w:line="360" w:lineRule="auto"/>
        <w:rPr>
          <w:rFonts w:hint="eastAsia" w:ascii="黑体" w:hAnsi="黑体" w:eastAsia="黑体" w:cs="黑体"/>
          <w:sz w:val="24"/>
          <w:szCs w:val="24"/>
          <w:lang w:val="en-US" w:eastAsia="zh-CN"/>
        </w:rPr>
      </w:pPr>
    </w:p>
    <w:p>
      <w:r>
        <w:rPr>
          <w:rFonts w:ascii="Arial" w:hAnsi="Arial" w:cs="Arial"/>
          <w:color w:val="333333"/>
          <w:shd w:val="clear" w:color="auto" w:fill="FFFFFF"/>
        </w:rPr>
        <w:t>TSG T7002-2005《曳引和强制驱动式电梯型式试验细则》（该细则是法规级的）</w:t>
      </w:r>
      <w:r>
        <w:rPr>
          <w:rFonts w:ascii="Arial" w:hAnsi="Arial" w:cs="Arial"/>
          <w:color w:val="333333"/>
        </w:rPr>
        <w:br w:type="textWrapping"/>
      </w:r>
      <w:r>
        <w:rPr>
          <w:rFonts w:ascii="Arial" w:hAnsi="Arial" w:cs="Arial"/>
          <w:color w:val="333333"/>
          <w:shd w:val="clear" w:color="auto" w:fill="FFFFFF"/>
        </w:rPr>
        <w:t>18.1</w:t>
      </w:r>
      <w:r>
        <w:rPr>
          <w:rFonts w:ascii="Arial" w:hAnsi="Arial" w:cs="Arial"/>
          <w:color w:val="333333"/>
        </w:rPr>
        <w:br w:type="textWrapping"/>
      </w:r>
      <w:r>
        <w:rPr>
          <w:rFonts w:ascii="Arial" w:hAnsi="Arial" w:cs="Arial"/>
          <w:color w:val="333333"/>
          <w:shd w:val="clear" w:color="auto" w:fill="FFFFFF"/>
        </w:rPr>
        <w:t>轿内报警装置</w:t>
      </w:r>
      <w:r>
        <w:rPr>
          <w:rFonts w:ascii="Arial" w:hAnsi="Arial" w:cs="Arial"/>
          <w:color w:val="333333"/>
        </w:rPr>
        <w:br w:type="textWrapping"/>
      </w:r>
      <w:r>
        <w:rPr>
          <w:rFonts w:ascii="Arial" w:hAnsi="Arial" w:cs="Arial"/>
          <w:color w:val="333333"/>
          <w:shd w:val="clear" w:color="auto" w:fill="FFFFFF"/>
        </w:rPr>
        <w:t>轿厢内应装设乘客易于识别和触及的报警装置</w:t>
      </w:r>
      <w:r>
        <w:rPr>
          <w:rFonts w:ascii="Arial" w:hAnsi="Arial" w:cs="Arial"/>
          <w:color w:val="333333"/>
        </w:rPr>
        <w:br w:type="textWrapping"/>
      </w:r>
      <w:r>
        <w:rPr>
          <w:rFonts w:ascii="Arial" w:hAnsi="Arial" w:cs="Arial"/>
          <w:color w:val="333333"/>
          <w:shd w:val="clear" w:color="auto" w:fill="FFFFFF"/>
        </w:rPr>
        <w:t>18.2</w:t>
      </w:r>
      <w:r>
        <w:rPr>
          <w:rFonts w:ascii="Arial" w:hAnsi="Arial" w:cs="Arial"/>
          <w:color w:val="333333"/>
        </w:rPr>
        <w:br w:type="textWrapping"/>
      </w:r>
      <w:r>
        <w:rPr>
          <w:rFonts w:ascii="Arial" w:hAnsi="Arial" w:cs="Arial"/>
          <w:color w:val="333333"/>
          <w:shd w:val="clear" w:color="auto" w:fill="FFFFFF"/>
        </w:rPr>
        <w:t>报警装置的电源 该装置的供电应来自紧急照明电源或等效电源（连接到公用电话网的除外） 18.3</w:t>
      </w:r>
      <w:r>
        <w:rPr>
          <w:rFonts w:ascii="Arial" w:hAnsi="Arial" w:cs="Arial"/>
          <w:color w:val="333333"/>
        </w:rPr>
        <w:br w:type="textWrapping"/>
      </w:r>
      <w:r>
        <w:rPr>
          <w:rFonts w:ascii="Arial" w:hAnsi="Arial" w:cs="Arial"/>
          <w:color w:val="333333"/>
          <w:shd w:val="clear" w:color="auto" w:fill="FFFFFF"/>
        </w:rPr>
        <w:t>轿内报警装置的型式</w:t>
      </w:r>
      <w:r>
        <w:rPr>
          <w:rFonts w:ascii="Arial" w:hAnsi="Arial" w:cs="Arial"/>
          <w:color w:val="333333"/>
        </w:rPr>
        <w:br w:type="textWrapping"/>
      </w:r>
      <w:r>
        <w:rPr>
          <w:rFonts w:ascii="Arial" w:hAnsi="Arial" w:cs="Arial"/>
          <w:color w:val="333333"/>
          <w:shd w:val="clear" w:color="auto" w:fill="FFFFFF"/>
        </w:rPr>
        <w:t>紧急报警装置应采用一个双向对讲系统，以便与救援服务持续联系。在启动此对讲系统之后，轿内被困乘客应不必再做其它操作</w:t>
      </w:r>
      <w:r>
        <w:rPr>
          <w:rFonts w:ascii="Arial" w:hAnsi="Arial" w:cs="Arial"/>
          <w:color w:val="333333"/>
        </w:rPr>
        <w:br w:type="textWrapping"/>
      </w:r>
      <w:r>
        <w:rPr>
          <w:rFonts w:ascii="Arial" w:hAnsi="Arial" w:cs="Arial"/>
          <w:color w:val="333333"/>
          <w:shd w:val="clear" w:color="auto" w:fill="FFFFFF"/>
        </w:rPr>
        <w:t>18.4</w:t>
      </w:r>
      <w:r>
        <w:rPr>
          <w:rFonts w:ascii="Arial" w:hAnsi="Arial" w:cs="Arial"/>
          <w:color w:val="333333"/>
        </w:rPr>
        <w:br w:type="textWrapping"/>
      </w:r>
      <w:r>
        <w:rPr>
          <w:rFonts w:ascii="Arial" w:hAnsi="Arial" w:cs="Arial"/>
          <w:color w:val="333333"/>
          <w:shd w:val="clear" w:color="auto" w:fill="FFFFFF"/>
        </w:rPr>
        <w:t>对讲系统</w:t>
      </w:r>
      <w:r>
        <w:rPr>
          <w:rFonts w:ascii="Arial" w:hAnsi="Arial" w:cs="Arial"/>
          <w:color w:val="333333"/>
        </w:rPr>
        <w:br w:type="textWrapping"/>
      </w:r>
      <w:r>
        <w:rPr>
          <w:rFonts w:ascii="Arial" w:hAnsi="Arial" w:cs="Arial"/>
          <w:color w:val="333333"/>
          <w:shd w:val="clear" w:color="auto" w:fill="FFFFFF"/>
        </w:rPr>
        <w:t>如果电梯行程大于30m，在轿厢和机房之间设置由紧急电源供电的对讲系统或类似装置</w:t>
      </w:r>
      <w:r>
        <w:rPr>
          <w:rFonts w:ascii="Arial" w:hAnsi="Arial" w:cs="Arial"/>
          <w:color w:val="333333"/>
        </w:rPr>
        <w:br w:type="textWrapping"/>
      </w:r>
      <w:r>
        <w:rPr>
          <w:rFonts w:ascii="Arial" w:hAnsi="Arial" w:cs="Arial"/>
          <w:color w:val="333333"/>
          <w:shd w:val="clear" w:color="auto" w:fill="FFFFFF"/>
        </w:rPr>
        <w:t>18.5</w:t>
      </w:r>
      <w:r>
        <w:rPr>
          <w:rFonts w:ascii="Arial" w:hAnsi="Arial" w:cs="Arial"/>
          <w:color w:val="333333"/>
        </w:rPr>
        <w:br w:type="textWrapping"/>
      </w:r>
      <w:r>
        <w:rPr>
          <w:rFonts w:ascii="Arial" w:hAnsi="Arial" w:cs="Arial"/>
          <w:color w:val="333333"/>
          <w:shd w:val="clear" w:color="auto" w:fill="FFFFFF"/>
        </w:rPr>
        <w:t>井道内的报警装置</w:t>
      </w:r>
      <w:r>
        <w:rPr>
          <w:rFonts w:ascii="Arial" w:hAnsi="Arial" w:cs="Arial"/>
          <w:color w:val="333333"/>
        </w:rPr>
        <w:br w:type="textWrapping"/>
      </w:r>
      <w:r>
        <w:rPr>
          <w:rFonts w:ascii="Arial" w:hAnsi="Arial" w:cs="Arial"/>
          <w:color w:val="333333"/>
          <w:shd w:val="clear" w:color="auto" w:fill="FFFFFF"/>
        </w:rPr>
        <w:t>如果在井道中工作的人员存在被困危险，而又无法通过轿厢或井道逃脱，应在存在该危险处设置报警装置。该报警装置也应符合上述</w:t>
      </w:r>
      <w:r>
        <w:rPr>
          <w:rFonts w:ascii="Arial" w:hAnsi="Arial" w:cs="Arial"/>
          <w:color w:val="333333"/>
        </w:rPr>
        <w:br w:type="textWrapping"/>
      </w:r>
      <w:r>
        <w:rPr>
          <w:rFonts w:ascii="Arial" w:hAnsi="Arial" w:cs="Arial"/>
          <w:color w:val="333333"/>
          <w:shd w:val="clear" w:color="auto" w:fill="FFFFFF"/>
        </w:rPr>
        <w:t>18.2和18.3条的规定GB 7588-2003《电梯制造与安装安全规范》（该规范是强制性国家标准）</w:t>
      </w:r>
      <w:r>
        <w:rPr>
          <w:rFonts w:ascii="Arial" w:hAnsi="Arial" w:cs="Arial"/>
          <w:color w:val="333333"/>
        </w:rPr>
        <w:br w:type="textWrapping"/>
      </w:r>
      <w:r>
        <w:rPr>
          <w:rFonts w:ascii="Arial" w:hAnsi="Arial" w:cs="Arial"/>
          <w:color w:val="333333"/>
          <w:shd w:val="clear" w:color="auto" w:fill="FFFFFF"/>
        </w:rPr>
        <w:t>5.10 紧急解困</w:t>
      </w:r>
      <w:r>
        <w:rPr>
          <w:rFonts w:ascii="Arial" w:hAnsi="Arial" w:cs="Arial"/>
          <w:color w:val="333333"/>
        </w:rPr>
        <w:br w:type="textWrapping"/>
      </w:r>
      <w:r>
        <w:rPr>
          <w:rFonts w:ascii="Arial" w:hAnsi="Arial" w:cs="Arial"/>
          <w:color w:val="333333"/>
          <w:shd w:val="clear" w:color="auto" w:fill="FFFFFF"/>
        </w:rPr>
        <w:t>如果在井道中工作的人员存在被困危险，而又无法通过轿厢或井道逃脱，应在存在该危险处设置报警装置。</w:t>
      </w:r>
      <w:r>
        <w:rPr>
          <w:rFonts w:ascii="Arial" w:hAnsi="Arial" w:cs="Arial"/>
          <w:color w:val="333333"/>
        </w:rPr>
        <w:br w:type="textWrapping"/>
      </w:r>
      <w:r>
        <w:rPr>
          <w:rFonts w:ascii="Arial" w:hAnsi="Arial" w:cs="Arial"/>
          <w:color w:val="333333"/>
          <w:shd w:val="clear" w:color="auto" w:fill="FFFFFF"/>
        </w:rPr>
        <w:t>该报警装置应符合14.2.3.2和14.2.3.3的要求。</w:t>
      </w:r>
      <w:r>
        <w:rPr>
          <w:rFonts w:ascii="Arial" w:hAnsi="Arial" w:cs="Arial"/>
          <w:color w:val="333333"/>
        </w:rPr>
        <w:br w:type="textWrapping"/>
      </w:r>
      <w:r>
        <w:rPr>
          <w:rFonts w:ascii="Arial" w:hAnsi="Arial" w:cs="Arial"/>
          <w:color w:val="333333"/>
          <w:shd w:val="clear" w:color="auto" w:fill="FFFFFF"/>
        </w:rPr>
        <w:t>14.2.3 紧急报警装置</w:t>
      </w:r>
      <w:r>
        <w:rPr>
          <w:rFonts w:ascii="Arial" w:hAnsi="Arial" w:cs="Arial"/>
          <w:color w:val="333333"/>
        </w:rPr>
        <w:br w:type="textWrapping"/>
      </w:r>
      <w:r>
        <w:rPr>
          <w:rFonts w:ascii="Arial" w:hAnsi="Arial" w:cs="Arial"/>
          <w:color w:val="333333"/>
          <w:shd w:val="clear" w:color="auto" w:fill="FFFFFF"/>
        </w:rPr>
        <w:t>14.2.3.1 为使乘客能向轿厢外求援，轿厢内应装设乘客易于识别和触及的报警装置。</w:t>
      </w:r>
      <w:r>
        <w:rPr>
          <w:rFonts w:ascii="Arial" w:hAnsi="Arial" w:cs="Arial"/>
          <w:color w:val="333333"/>
        </w:rPr>
        <w:br w:type="textWrapping"/>
      </w:r>
      <w:r>
        <w:rPr>
          <w:rFonts w:ascii="Arial" w:hAnsi="Arial" w:cs="Arial"/>
          <w:color w:val="333333"/>
          <w:shd w:val="clear" w:color="auto" w:fill="FFFFFF"/>
        </w:rPr>
        <w:t>14.2.3.2 该装置的供电应来自8.17.4中要求的紧急照明电源或等效电源。</w:t>
      </w:r>
      <w:r>
        <w:rPr>
          <w:rFonts w:ascii="Arial" w:hAnsi="Arial" w:cs="Arial"/>
          <w:color w:val="333333"/>
        </w:rPr>
        <w:br w:type="textWrapping"/>
      </w:r>
      <w:r>
        <w:rPr>
          <w:rFonts w:ascii="Arial" w:hAnsi="Arial" w:cs="Arial"/>
          <w:color w:val="333333"/>
          <w:shd w:val="clear" w:color="auto" w:fill="FFFFFF"/>
        </w:rPr>
        <w:t>注：</w:t>
      </w:r>
      <w:r>
        <w:rPr>
          <w:rFonts w:ascii="Arial" w:hAnsi="Arial" w:cs="Arial"/>
          <w:color w:val="333333"/>
        </w:rPr>
        <w:br w:type="textWrapping"/>
      </w:r>
      <w:r>
        <w:rPr>
          <w:rFonts w:ascii="Arial" w:hAnsi="Arial" w:cs="Arial"/>
          <w:color w:val="333333"/>
          <w:shd w:val="clear" w:color="auto" w:fill="FFFFFF"/>
        </w:rPr>
        <w:t>14.2.3.2</w:t>
      </w:r>
      <w:r>
        <w:rPr>
          <w:rFonts w:ascii="Arial" w:hAnsi="Arial" w:cs="Arial"/>
          <w:color w:val="333333"/>
        </w:rPr>
        <w:br w:type="textWrapping"/>
      </w:r>
      <w:r>
        <w:rPr>
          <w:rFonts w:ascii="Arial" w:hAnsi="Arial" w:cs="Arial"/>
          <w:color w:val="333333"/>
          <w:shd w:val="clear" w:color="auto" w:fill="FFFFFF"/>
        </w:rPr>
        <w:t>不适用于轿内电话与公用电话网连接的情况</w:t>
      </w:r>
      <w:r>
        <w:rPr>
          <w:rFonts w:ascii="Arial" w:hAnsi="Arial" w:cs="Arial"/>
          <w:color w:val="333333"/>
        </w:rPr>
        <w:br w:type="textWrapping"/>
      </w:r>
      <w:r>
        <w:rPr>
          <w:rFonts w:ascii="Arial" w:hAnsi="Arial" w:cs="Arial"/>
          <w:color w:val="333333"/>
          <w:shd w:val="clear" w:color="auto" w:fill="FFFFFF"/>
        </w:rPr>
        <w:t>14.2.3.3 该装置应采用一个对讲系统以便与救援服务持续联系。在启动此对讲系统之后，被困乘客应不必再做其它操作。</w:t>
      </w:r>
      <w:r>
        <w:rPr>
          <w:rFonts w:ascii="Arial" w:hAnsi="Arial" w:cs="Arial"/>
          <w:color w:val="333333"/>
        </w:rPr>
        <w:br w:type="textWrapping"/>
      </w:r>
      <w:r>
        <w:rPr>
          <w:rFonts w:ascii="Arial" w:hAnsi="Arial" w:cs="Arial"/>
          <w:color w:val="333333"/>
          <w:shd w:val="clear" w:color="auto" w:fill="FFFFFF"/>
        </w:rPr>
        <w:t>14.2.3.4 如果电梯行程大于30m，在轿厢和机房之间应设置</w:t>
      </w:r>
      <w:r>
        <w:rPr>
          <w:rFonts w:ascii="Arial" w:hAnsi="Arial" w:cs="Arial"/>
          <w:color w:val="333333"/>
        </w:rPr>
        <w:br w:type="textWrapping"/>
      </w:r>
      <w:r>
        <w:rPr>
          <w:rFonts w:ascii="Arial" w:hAnsi="Arial" w:cs="Arial"/>
          <w:color w:val="333333"/>
          <w:shd w:val="clear" w:color="auto" w:fill="FFFFFF"/>
        </w:rPr>
        <w:t>8.17.4</w:t>
      </w:r>
      <w:r>
        <w:rPr>
          <w:rFonts w:ascii="Arial" w:hAnsi="Arial" w:cs="Arial"/>
          <w:color w:val="333333"/>
        </w:rPr>
        <w:br w:type="textWrapping"/>
      </w:r>
      <w:r>
        <w:rPr>
          <w:rFonts w:ascii="Arial" w:hAnsi="Arial" w:cs="Arial"/>
          <w:color w:val="333333"/>
          <w:shd w:val="clear" w:color="auto" w:fill="FFFFFF"/>
        </w:rPr>
        <w:t>述及的紧急电源供电的对讲系统或类似装置。以上两项法规和国家标准都是必须执行的。</w:t>
      </w:r>
    </w:p>
    <w:p>
      <w:pPr>
        <w:spacing w:line="360" w:lineRule="auto"/>
        <w:rPr>
          <w:rFonts w:hint="eastAsia" w:ascii="仿宋" w:hAnsi="仿宋" w:eastAsia="仿宋" w:cs="仿宋"/>
          <w:sz w:val="24"/>
          <w:szCs w:val="24"/>
          <w:lang w:val="en-US" w:eastAsia="zh-CN"/>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lang w:eastAsia="zh-CN"/>
        </w:rPr>
      </w:pPr>
    </w:p>
    <w:p>
      <w:pPr>
        <w:rPr>
          <w:rFonts w:hint="eastAsia"/>
          <w:lang w:eastAsia="zh-CN"/>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第</w:t>
      </w:r>
      <w:r>
        <w:rPr>
          <w:rFonts w:hint="eastAsia" w:ascii="仿宋" w:hAnsi="仿宋" w:eastAsia="仿宋" w:cs="仿宋"/>
          <w:sz w:val="21"/>
          <w:szCs w:val="21"/>
          <w:lang w:eastAsia="zh-CN"/>
        </w:rPr>
        <w:t>四</w:t>
      </w:r>
      <w:r>
        <w:rPr>
          <w:rFonts w:hint="eastAsia" w:ascii="仿宋" w:hAnsi="仿宋" w:eastAsia="仿宋" w:cs="仿宋"/>
          <w:sz w:val="21"/>
          <w:szCs w:val="21"/>
        </w:rPr>
        <w:t>章  附  件</w:t>
      </w:r>
      <w:bookmarkEnd w:id="37"/>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bCs/>
          <w:sz w:val="21"/>
          <w:szCs w:val="21"/>
        </w:rPr>
      </w:pPr>
      <w:r>
        <w:rPr>
          <w:rFonts w:hint="eastAsia" w:ascii="仿宋" w:hAnsi="仿宋" w:eastAsia="仿宋" w:cs="仿宋"/>
          <w:b/>
          <w:sz w:val="21"/>
          <w:szCs w:val="21"/>
        </w:rPr>
        <w:t>（谈判响应文件格式）</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附件一：</w:t>
      </w: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报价函</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致：防灾科技学院</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pacing w:val="6"/>
          <w:sz w:val="21"/>
          <w:szCs w:val="21"/>
        </w:rPr>
        <w:t>在审阅了</w:t>
      </w:r>
      <w:r>
        <w:rPr>
          <w:rFonts w:hint="eastAsia" w:ascii="仿宋" w:hAnsi="仿宋" w:eastAsia="仿宋" w:cs="仿宋"/>
          <w:spacing w:val="6"/>
          <w:sz w:val="21"/>
          <w:szCs w:val="21"/>
          <w:u w:val="single"/>
        </w:rPr>
        <w:t xml:space="preserve">    （项目名称）    </w:t>
      </w:r>
      <w:r>
        <w:rPr>
          <w:rFonts w:hint="eastAsia" w:ascii="仿宋" w:hAnsi="仿宋" w:eastAsia="仿宋" w:cs="仿宋"/>
          <w:spacing w:val="6"/>
          <w:sz w:val="21"/>
          <w:szCs w:val="21"/>
        </w:rPr>
        <w:t>谈判文件（项目编号：</w:t>
      </w:r>
      <w:r>
        <w:rPr>
          <w:rFonts w:hint="eastAsia" w:ascii="仿宋" w:hAnsi="仿宋" w:eastAsia="仿宋" w:cs="仿宋"/>
          <w:spacing w:val="6"/>
          <w:sz w:val="21"/>
          <w:szCs w:val="21"/>
          <w:u w:val="single"/>
        </w:rPr>
        <w:t xml:space="preserve">      </w:t>
      </w:r>
      <w:r>
        <w:rPr>
          <w:rFonts w:hint="eastAsia" w:ascii="仿宋" w:hAnsi="仿宋" w:eastAsia="仿宋" w:cs="仿宋"/>
          <w:spacing w:val="6"/>
          <w:sz w:val="21"/>
          <w:szCs w:val="21"/>
        </w:rPr>
        <w:t>）</w:t>
      </w:r>
      <w:r>
        <w:rPr>
          <w:rFonts w:hint="eastAsia" w:ascii="仿宋" w:hAnsi="仿宋" w:eastAsia="仿宋" w:cs="仿宋"/>
          <w:spacing w:val="20"/>
          <w:sz w:val="21"/>
          <w:szCs w:val="21"/>
        </w:rPr>
        <w:t>，我方下述签字人将按照</w:t>
      </w:r>
      <w:r>
        <w:rPr>
          <w:rFonts w:hint="eastAsia" w:ascii="仿宋" w:hAnsi="仿宋" w:eastAsia="仿宋" w:cs="仿宋"/>
          <w:b/>
          <w:spacing w:val="20"/>
          <w:sz w:val="21"/>
          <w:szCs w:val="21"/>
        </w:rPr>
        <w:t>谈判文件</w:t>
      </w:r>
      <w:r>
        <w:rPr>
          <w:rFonts w:hint="eastAsia" w:ascii="仿宋" w:hAnsi="仿宋" w:eastAsia="仿宋" w:cs="仿宋"/>
          <w:spacing w:val="20"/>
          <w:sz w:val="21"/>
          <w:szCs w:val="21"/>
        </w:rPr>
        <w:t>的规定提供总价</w:t>
      </w:r>
      <w:r>
        <w:rPr>
          <w:rFonts w:hint="eastAsia" w:ascii="仿宋" w:hAnsi="仿宋" w:eastAsia="仿宋" w:cs="仿宋"/>
          <w:sz w:val="21"/>
          <w:szCs w:val="21"/>
        </w:rPr>
        <w:t>为</w:t>
      </w:r>
      <w:r>
        <w:rPr>
          <w:rFonts w:hint="eastAsia" w:ascii="仿宋" w:hAnsi="仿宋" w:eastAsia="仿宋" w:cs="仿宋"/>
          <w:sz w:val="21"/>
          <w:szCs w:val="21"/>
          <w:u w:val="single"/>
        </w:rPr>
        <w:t xml:space="preserve">              （用文字和数字表示的总价）</w:t>
      </w:r>
      <w:r>
        <w:rPr>
          <w:rFonts w:hint="eastAsia" w:ascii="仿宋" w:hAnsi="仿宋" w:eastAsia="仿宋" w:cs="仿宋"/>
          <w:sz w:val="21"/>
          <w:szCs w:val="21"/>
        </w:rPr>
        <w:t>的服务，其中由小型和微型企业提供服务的价格为</w:t>
      </w:r>
      <w:r>
        <w:rPr>
          <w:rFonts w:hint="eastAsia" w:ascii="仿宋" w:hAnsi="仿宋" w:eastAsia="仿宋" w:cs="仿宋"/>
          <w:sz w:val="21"/>
          <w:szCs w:val="21"/>
          <w:u w:val="single"/>
        </w:rPr>
        <w:t xml:space="preserve">      （用文字和数字表示）</w:t>
      </w:r>
      <w:r>
        <w:rPr>
          <w:rFonts w:hint="eastAsia" w:ascii="仿宋" w:hAnsi="仿宋" w:eastAsia="仿宋" w:cs="仿宋"/>
          <w:sz w:val="21"/>
          <w:szCs w:val="21"/>
        </w:rPr>
        <w:t>，占总价的</w:t>
      </w:r>
      <w:r>
        <w:rPr>
          <w:rFonts w:hint="eastAsia" w:ascii="仿宋" w:hAnsi="仿宋" w:eastAsia="仿宋" w:cs="仿宋"/>
          <w:sz w:val="21"/>
          <w:szCs w:val="21"/>
          <w:u w:val="single"/>
        </w:rPr>
        <w:t xml:space="preserve">   %</w:t>
      </w:r>
      <w:r>
        <w:rPr>
          <w:rFonts w:hint="eastAsia" w:ascii="仿宋" w:hAnsi="仿宋" w:eastAsia="仿宋" w:cs="仿宋"/>
          <w:sz w:val="21"/>
          <w:szCs w:val="21"/>
        </w:rPr>
        <w:t>。并作出如下承诺：</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1、如果我们被确定为成交供应商，我们将按照谈判后双方确认的合同条款的要求执行。</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2、我方保证忠实地执行买、卖双方所签的合同，并承担合同规定的责任和义务。</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3、我方愿意向贵方提供任何与此报价有关的数据、情况和技术资料。</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4、我方提交的响应文件及报价自提交日期起</w:t>
      </w:r>
      <w:r>
        <w:rPr>
          <w:rFonts w:hint="eastAsia" w:ascii="仿宋" w:hAnsi="仿宋" w:eastAsia="仿宋" w:cs="仿宋"/>
          <w:sz w:val="21"/>
          <w:szCs w:val="21"/>
          <w:u w:val="single"/>
        </w:rPr>
        <w:t xml:space="preserve">    </w:t>
      </w:r>
      <w:r>
        <w:rPr>
          <w:rFonts w:hint="eastAsia" w:ascii="仿宋" w:hAnsi="仿宋" w:eastAsia="仿宋" w:cs="仿宋"/>
          <w:sz w:val="21"/>
          <w:szCs w:val="21"/>
        </w:rPr>
        <w:t>天有效，并对我方具有约束力。</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5、在正式合同准备好和签字前，本报价函及贵方的书面成交结果通知书将构成约束我们双方的合同内容。</w:t>
      </w:r>
    </w:p>
    <w:p>
      <w:pPr>
        <w:pStyle w:val="5"/>
        <w:pageBreakBefore w:val="0"/>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出具日期：</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授权代表签字：</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r>
        <w:rPr>
          <w:rFonts w:hint="eastAsia" w:ascii="仿宋" w:hAnsi="仿宋" w:eastAsia="仿宋" w:cs="仿宋"/>
          <w:sz w:val="21"/>
          <w:szCs w:val="21"/>
        </w:rPr>
        <w:t>职务：</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u w:val="single"/>
        </w:rPr>
        <w:sectPr>
          <w:footerReference r:id="rId3" w:type="default"/>
          <w:pgSz w:w="11907" w:h="16840"/>
          <w:pgMar w:top="1440" w:right="1304" w:bottom="1440" w:left="1418" w:header="851" w:footer="992" w:gutter="0"/>
          <w:cols w:space="720" w:num="1"/>
          <w:docGrid w:type="linesAndChars" w:linePitch="312" w:charSpace="0"/>
        </w:sectPr>
      </w:pPr>
      <w:r>
        <w:rPr>
          <w:rFonts w:hint="eastAsia" w:ascii="仿宋" w:hAnsi="仿宋" w:eastAsia="仿宋" w:cs="仿宋"/>
          <w:sz w:val="21"/>
          <w:szCs w:val="21"/>
        </w:rPr>
        <w:t>公章：</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附件二：</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b/>
          <w:sz w:val="21"/>
          <w:szCs w:val="21"/>
        </w:rPr>
        <w:t>参考报价表</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b/>
          <w:sz w:val="21"/>
          <w:szCs w:val="21"/>
        </w:rPr>
      </w:pPr>
      <w:r>
        <w:rPr>
          <w:rFonts w:hint="eastAsia" w:ascii="仿宋" w:hAnsi="仿宋" w:eastAsia="仿宋" w:cs="仿宋"/>
          <w:b/>
          <w:sz w:val="21"/>
          <w:szCs w:val="21"/>
        </w:rPr>
        <w:t>项目编号：                           价格单位：人民币元</w:t>
      </w:r>
    </w:p>
    <w:tbl>
      <w:tblPr>
        <w:tblStyle w:val="18"/>
        <w:tblW w:w="8410" w:type="dxa"/>
        <w:jc w:val="center"/>
        <w:tblInd w:w="0" w:type="dxa"/>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723"/>
        <w:gridCol w:w="1506"/>
        <w:gridCol w:w="2008"/>
        <w:gridCol w:w="1890"/>
      </w:tblGrid>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28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172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分项名称</w:t>
            </w:r>
          </w:p>
        </w:tc>
        <w:tc>
          <w:tcPr>
            <w:tcW w:w="1506"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单价</w:t>
            </w:r>
          </w:p>
        </w:tc>
        <w:tc>
          <w:tcPr>
            <w:tcW w:w="2008"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总价</w:t>
            </w: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备注</w:t>
            </w: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vAlign w:val="center"/>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bottom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tcBorders>
              <w:bottom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tcBorders>
              <w:bottom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bottom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bottom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tcBorders>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tcBorders>
              <w:top w:val="single" w:color="auto" w:sz="4" w:space="0"/>
              <w:left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top w:val="single" w:color="auto" w:sz="4" w:space="0"/>
              <w:left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bl>
    <w:p>
      <w:pPr>
        <w:pageBreakBefore w:val="0"/>
        <w:kinsoku/>
        <w:wordWrap/>
        <w:overflowPunct/>
        <w:topLinePunct w:val="0"/>
        <w:autoSpaceDE/>
        <w:autoSpaceDN/>
        <w:bidi w:val="0"/>
        <w:adjustRightInd/>
        <w:spacing w:line="360" w:lineRule="auto"/>
        <w:ind w:left="1260" w:hanging="1260"/>
        <w:textAlignment w:val="auto"/>
        <w:rPr>
          <w:rFonts w:hint="eastAsia" w:ascii="仿宋" w:hAnsi="仿宋" w:eastAsia="仿宋" w:cs="仿宋"/>
          <w:b/>
          <w:sz w:val="21"/>
          <w:szCs w:val="21"/>
        </w:rPr>
      </w:pPr>
      <w:r>
        <w:rPr>
          <w:rFonts w:hint="eastAsia" w:ascii="仿宋" w:hAnsi="仿宋" w:eastAsia="仿宋" w:cs="仿宋"/>
          <w:b/>
          <w:sz w:val="21"/>
          <w:szCs w:val="21"/>
        </w:rPr>
        <w:t>说明：1、参考报价可以是市场价格，也可以是谈判供应商认为合适的价格。</w:t>
      </w:r>
    </w:p>
    <w:p>
      <w:pPr>
        <w:pageBreakBefore w:val="0"/>
        <w:kinsoku/>
        <w:wordWrap/>
        <w:overflowPunct/>
        <w:topLinePunct w:val="0"/>
        <w:autoSpaceDE/>
        <w:autoSpaceDN/>
        <w:bidi w:val="0"/>
        <w:adjustRightInd/>
        <w:spacing w:line="360" w:lineRule="auto"/>
        <w:ind w:firstLine="630" w:firstLineChars="300"/>
        <w:textAlignment w:val="auto"/>
        <w:rPr>
          <w:rFonts w:hint="eastAsia" w:ascii="仿宋" w:hAnsi="仿宋" w:eastAsia="仿宋" w:cs="仿宋"/>
          <w:b/>
          <w:sz w:val="21"/>
          <w:szCs w:val="21"/>
        </w:rPr>
      </w:pPr>
      <w:r>
        <w:rPr>
          <w:rFonts w:hint="eastAsia" w:ascii="仿宋" w:hAnsi="仿宋" w:eastAsia="仿宋" w:cs="仿宋"/>
          <w:b/>
          <w:sz w:val="21"/>
          <w:szCs w:val="21"/>
        </w:rPr>
        <w:t>2、参考报价不作为评审的依据。</w:t>
      </w:r>
    </w:p>
    <w:p>
      <w:pPr>
        <w:pageBreakBefore w:val="0"/>
        <w:kinsoku/>
        <w:wordWrap/>
        <w:overflowPunct/>
        <w:topLinePunct w:val="0"/>
        <w:autoSpaceDE/>
        <w:autoSpaceDN/>
        <w:bidi w:val="0"/>
        <w:adjustRightInd/>
        <w:snapToGrid w:val="0"/>
        <w:spacing w:line="360" w:lineRule="auto"/>
        <w:ind w:firstLine="550"/>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ind w:firstLine="550"/>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出具日期：</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授权代表签字：</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0"/>
        <w:textAlignment w:val="auto"/>
        <w:rPr>
          <w:rFonts w:hint="eastAsia" w:ascii="仿宋" w:hAnsi="仿宋" w:eastAsia="仿宋" w:cs="仿宋"/>
          <w:b/>
          <w:sz w:val="21"/>
          <w:szCs w:val="21"/>
        </w:rPr>
      </w:pPr>
      <w:r>
        <w:rPr>
          <w:rFonts w:hint="eastAsia" w:ascii="仿宋" w:hAnsi="仿宋" w:eastAsia="仿宋" w:cs="仿宋"/>
          <w:sz w:val="21"/>
          <w:szCs w:val="21"/>
        </w:rPr>
        <w:t>公章：</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br w:type="page"/>
      </w:r>
      <w:r>
        <w:rPr>
          <w:rFonts w:hint="eastAsia" w:ascii="仿宋" w:hAnsi="仿宋" w:eastAsia="仿宋" w:cs="仿宋"/>
          <w:b/>
          <w:sz w:val="21"/>
          <w:szCs w:val="21"/>
        </w:rPr>
        <w:t>附件三：</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资格证明文件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u w:val="single"/>
        </w:rPr>
      </w:pPr>
      <w:r>
        <w:rPr>
          <w:rFonts w:hint="eastAsia" w:ascii="仿宋" w:hAnsi="仿宋" w:eastAsia="仿宋" w:cs="仿宋"/>
          <w:b/>
          <w:sz w:val="21"/>
          <w:szCs w:val="21"/>
        </w:rPr>
        <w:t>（一）法定代表人授权书</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u w:val="single"/>
        </w:rPr>
        <w:t>防灾科技学院</w:t>
      </w:r>
      <w:r>
        <w:rPr>
          <w:rFonts w:hint="eastAsia" w:ascii="仿宋" w:hAnsi="仿宋" w:eastAsia="仿宋" w:cs="仿宋"/>
          <w:sz w:val="21"/>
          <w:szCs w:val="21"/>
        </w:rPr>
        <w:t>：</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u w:val="single"/>
        </w:rPr>
        <w:t xml:space="preserve">    （谈判供应商全称）    </w:t>
      </w:r>
      <w:r>
        <w:rPr>
          <w:rFonts w:hint="eastAsia" w:ascii="仿宋" w:hAnsi="仿宋" w:eastAsia="仿宋" w:cs="仿宋"/>
          <w:sz w:val="21"/>
          <w:szCs w:val="21"/>
        </w:rPr>
        <w:t>法定代表人</w:t>
      </w:r>
      <w:r>
        <w:rPr>
          <w:rFonts w:hint="eastAsia" w:ascii="仿宋" w:hAnsi="仿宋" w:eastAsia="仿宋" w:cs="仿宋"/>
          <w:sz w:val="21"/>
          <w:szCs w:val="21"/>
          <w:u w:val="single"/>
        </w:rPr>
        <w:t xml:space="preserve">  （姓名）  </w:t>
      </w:r>
      <w:r>
        <w:rPr>
          <w:rFonts w:hint="eastAsia" w:ascii="仿宋" w:hAnsi="仿宋" w:eastAsia="仿宋" w:cs="仿宋"/>
          <w:sz w:val="21"/>
          <w:szCs w:val="21"/>
        </w:rPr>
        <w:t>授权</w:t>
      </w:r>
      <w:r>
        <w:rPr>
          <w:rFonts w:hint="eastAsia" w:ascii="仿宋" w:hAnsi="仿宋" w:eastAsia="仿宋" w:cs="仿宋"/>
          <w:sz w:val="21"/>
          <w:szCs w:val="21"/>
          <w:u w:val="single"/>
        </w:rPr>
        <w:t xml:space="preserve">  姓名  </w:t>
      </w:r>
      <w:r>
        <w:rPr>
          <w:rFonts w:hint="eastAsia" w:ascii="仿宋" w:hAnsi="仿宋" w:eastAsia="仿宋" w:cs="仿宋"/>
          <w:sz w:val="21"/>
          <w:szCs w:val="21"/>
        </w:rPr>
        <w:t>为全权代表，参加贵公司组织的</w:t>
      </w:r>
      <w:r>
        <w:rPr>
          <w:rFonts w:hint="eastAsia" w:ascii="仿宋" w:hAnsi="仿宋" w:eastAsia="仿宋" w:cs="仿宋"/>
          <w:sz w:val="21"/>
          <w:szCs w:val="21"/>
          <w:u w:val="single"/>
        </w:rPr>
        <w:t xml:space="preserve">                 </w:t>
      </w:r>
      <w:r>
        <w:rPr>
          <w:rFonts w:hint="eastAsia" w:ascii="仿宋" w:hAnsi="仿宋" w:eastAsia="仿宋" w:cs="仿宋"/>
          <w:sz w:val="21"/>
          <w:szCs w:val="21"/>
        </w:rPr>
        <w:t>项目（项目编号：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）谈判报价活动，全权处理谈判活动中的一切事宜。</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法定代表人签字或签章：</w:t>
      </w:r>
    </w:p>
    <w:p>
      <w:pPr>
        <w:pStyle w:val="4"/>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单位全称(公章)：</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日　期：</w:t>
      </w:r>
    </w:p>
    <w:p>
      <w:pPr>
        <w:pStyle w:val="4"/>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授权代表姓名：</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职　　　　务：</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详细通讯地址：</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邮 政 编 码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传       真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电       话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Email  地址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br w:type="page"/>
      </w:r>
      <w:r>
        <w:rPr>
          <w:rFonts w:hint="eastAsia" w:ascii="仿宋" w:hAnsi="仿宋" w:eastAsia="仿宋" w:cs="仿宋"/>
          <w:b/>
          <w:sz w:val="21"/>
          <w:szCs w:val="21"/>
        </w:rPr>
        <w:t>（二）谈判供应商情况表</w:t>
      </w:r>
    </w:p>
    <w:p>
      <w:pPr>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谈判供应商:(公章)                               填表日期:</w:t>
      </w:r>
    </w:p>
    <w:tbl>
      <w:tblPr>
        <w:tblStyle w:val="18"/>
        <w:tblW w:w="930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20"/>
        <w:gridCol w:w="945"/>
        <w:gridCol w:w="923"/>
        <w:gridCol w:w="505"/>
        <w:gridCol w:w="885"/>
        <w:gridCol w:w="417"/>
        <w:gridCol w:w="340"/>
        <w:gridCol w:w="759"/>
        <w:gridCol w:w="757"/>
        <w:gridCol w:w="127"/>
        <w:gridCol w:w="23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单位名称</w:t>
            </w:r>
          </w:p>
        </w:tc>
        <w:tc>
          <w:tcPr>
            <w:tcW w:w="7980" w:type="dxa"/>
            <w:gridSpan w:val="10"/>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详细地址</w:t>
            </w:r>
          </w:p>
        </w:tc>
        <w:tc>
          <w:tcPr>
            <w:tcW w:w="7980" w:type="dxa"/>
            <w:gridSpan w:val="10"/>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主管部门</w:t>
            </w:r>
          </w:p>
        </w:tc>
        <w:tc>
          <w:tcPr>
            <w:tcW w:w="186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390"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法人代表</w:t>
            </w:r>
          </w:p>
        </w:tc>
        <w:tc>
          <w:tcPr>
            <w:tcW w:w="1516"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884"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职务</w:t>
            </w:r>
          </w:p>
        </w:tc>
        <w:tc>
          <w:tcPr>
            <w:tcW w:w="2322"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经济类型</w:t>
            </w:r>
          </w:p>
        </w:tc>
        <w:tc>
          <w:tcPr>
            <w:tcW w:w="186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390"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授权代表</w:t>
            </w:r>
          </w:p>
        </w:tc>
        <w:tc>
          <w:tcPr>
            <w:tcW w:w="1516"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884"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职务</w:t>
            </w:r>
          </w:p>
        </w:tc>
        <w:tc>
          <w:tcPr>
            <w:tcW w:w="2322"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邮政编码</w:t>
            </w:r>
          </w:p>
        </w:tc>
        <w:tc>
          <w:tcPr>
            <w:tcW w:w="186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390"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电话</w:t>
            </w:r>
          </w:p>
        </w:tc>
        <w:tc>
          <w:tcPr>
            <w:tcW w:w="1516"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884"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传真</w:t>
            </w:r>
          </w:p>
        </w:tc>
        <w:tc>
          <w:tcPr>
            <w:tcW w:w="2322"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233" w:hRule="atLeast"/>
        </w:trPr>
        <w:tc>
          <w:tcPr>
            <w:tcW w:w="1320" w:type="dxa"/>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单位简历</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及机构</w:t>
            </w:r>
          </w:p>
        </w:tc>
        <w:tc>
          <w:tcPr>
            <w:tcW w:w="7980" w:type="dxa"/>
            <w:gridSpan w:val="10"/>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43" w:hRule="atLeast"/>
        </w:trPr>
        <w:tc>
          <w:tcPr>
            <w:tcW w:w="1320" w:type="dxa"/>
            <w:tcBorders>
              <w:bottom w:val="nil"/>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单位主营范围及优势和</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特长</w:t>
            </w:r>
          </w:p>
        </w:tc>
        <w:tc>
          <w:tcPr>
            <w:tcW w:w="7980" w:type="dxa"/>
            <w:gridSpan w:val="10"/>
            <w:tcBorders>
              <w:bottom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restart"/>
            <w:tcBorders>
              <w:top w:val="nil"/>
              <w:bottom w:val="nil"/>
              <w:right w:val="nil"/>
            </w:tcBorders>
            <w:vAlign w:val="top"/>
          </w:tcPr>
          <w:p>
            <w:pPr>
              <w:pageBreakBefore w:val="0"/>
              <w:pBdr>
                <w:top w:val="single" w:color="auto" w:sz="6" w:space="1"/>
              </w:pBdr>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p>
            <w:pPr>
              <w:pageBreakBefore w:val="0"/>
              <w:pBdr>
                <w:top w:val="single" w:color="auto" w:sz="6" w:space="1"/>
              </w:pBdr>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企业财务状况</w:t>
            </w:r>
          </w:p>
        </w:tc>
        <w:tc>
          <w:tcPr>
            <w:tcW w:w="945"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42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收入总额</w:t>
            </w:r>
          </w:p>
        </w:tc>
        <w:tc>
          <w:tcPr>
            <w:tcW w:w="1642"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利润总额</w:t>
            </w:r>
          </w:p>
        </w:tc>
        <w:tc>
          <w:tcPr>
            <w:tcW w:w="1516"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税后利润</w:t>
            </w:r>
          </w:p>
        </w:tc>
        <w:tc>
          <w:tcPr>
            <w:tcW w:w="2449"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负债总额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bottom w:val="nil"/>
              <w:right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945"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201</w:t>
            </w:r>
            <w:r>
              <w:rPr>
                <w:rFonts w:hint="eastAsia" w:ascii="仿宋" w:hAnsi="仿宋" w:eastAsia="仿宋" w:cs="仿宋"/>
                <w:sz w:val="21"/>
                <w:szCs w:val="21"/>
                <w:lang w:val="en-US" w:eastAsia="zh-CN"/>
              </w:rPr>
              <w:t>5</w:t>
            </w:r>
            <w:r>
              <w:rPr>
                <w:rFonts w:hint="eastAsia" w:ascii="仿宋" w:hAnsi="仿宋" w:eastAsia="仿宋" w:cs="仿宋"/>
                <w:sz w:val="21"/>
                <w:szCs w:val="21"/>
              </w:rPr>
              <w:t>年</w:t>
            </w:r>
          </w:p>
        </w:tc>
        <w:tc>
          <w:tcPr>
            <w:tcW w:w="1428"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642" w:type="dxa"/>
            <w:gridSpan w:val="3"/>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516"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2449"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bottom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945"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201</w:t>
            </w:r>
            <w:r>
              <w:rPr>
                <w:rFonts w:hint="eastAsia" w:ascii="仿宋" w:hAnsi="仿宋" w:eastAsia="仿宋" w:cs="仿宋"/>
                <w:sz w:val="21"/>
                <w:szCs w:val="21"/>
                <w:lang w:val="en-US" w:eastAsia="zh-CN"/>
              </w:rPr>
              <w:t>6</w:t>
            </w:r>
            <w:r>
              <w:rPr>
                <w:rFonts w:hint="eastAsia" w:ascii="仿宋" w:hAnsi="仿宋" w:eastAsia="仿宋" w:cs="仿宋"/>
                <w:sz w:val="21"/>
                <w:szCs w:val="21"/>
              </w:rPr>
              <w:t>年</w:t>
            </w:r>
          </w:p>
        </w:tc>
        <w:tc>
          <w:tcPr>
            <w:tcW w:w="1428"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642" w:type="dxa"/>
            <w:gridSpan w:val="3"/>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516"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2449"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945" w:type="dxa"/>
            <w:vAlign w:val="center"/>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201</w:t>
            </w:r>
            <w:r>
              <w:rPr>
                <w:rFonts w:hint="eastAsia" w:ascii="仿宋" w:hAnsi="仿宋" w:eastAsia="仿宋" w:cs="仿宋"/>
                <w:sz w:val="21"/>
                <w:szCs w:val="21"/>
                <w:lang w:val="en-US" w:eastAsia="zh-CN"/>
              </w:rPr>
              <w:t>7</w:t>
            </w:r>
            <w:r>
              <w:rPr>
                <w:rFonts w:hint="eastAsia" w:ascii="仿宋" w:hAnsi="仿宋" w:eastAsia="仿宋" w:cs="仿宋"/>
                <w:sz w:val="21"/>
                <w:szCs w:val="21"/>
              </w:rPr>
              <w:t>年</w:t>
            </w:r>
          </w:p>
        </w:tc>
        <w:tc>
          <w:tcPr>
            <w:tcW w:w="1428"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642" w:type="dxa"/>
            <w:gridSpan w:val="3"/>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516"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2449"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restart"/>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业绩情况</w:t>
            </w:r>
          </w:p>
        </w:tc>
        <w:tc>
          <w:tcPr>
            <w:tcW w:w="3675" w:type="dxa"/>
            <w:gridSpan w:val="5"/>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4305" w:type="dxa"/>
            <w:gridSpan w:val="5"/>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上年销售值（万元）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367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430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367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430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367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430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bl>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b/>
          <w:sz w:val="21"/>
          <w:szCs w:val="21"/>
        </w:rPr>
        <w:br w:type="page"/>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（三）营业执照（副本复印件，加盖公章）或事业单位法人证书（副本复印件，加盖公章）或自然人身份证明（身份证复印件）</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（四）近期谈判供应商缴纳企业所得税或增值税的证明（缴纳发票复印件，加盖公章）或事业单位近期纳税证明（缴纳发票复印件，加盖公章）或自然人缴纳个人所得税证明</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（五）近期谈判供应商为职工缴纳社会保险的证明（包括基本养老保险费、基本医疗保险费、失业保险费等缴纳发票复印件，加盖公章。依法不需要缴纳社保的供应商应提供不需缴纳的声明原件，格式自定）</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（六）开户银行为本项目出具的资信证明（原件）或上年度由会计师事务所出具的财务审计报告（复印件，加盖公章）</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（七）谈判供应商参加政府采购活动近三年内无违法记录的说明（格式自定，原件）</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（八）谈判供应商企业类型声明函、制造商企业类型声明函（原件，符合《政府采购促进中小企业发展暂行办法》（财库[2011]181号）价格扣减条件的谈判供应商须提交）</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谈判供应商企业类型声明函（格式）</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本公司郑重声明，根据《政府采购促进中小企业发展暂行办法》（财库[2011]181号）的规定，本公司为______（请填写：大型、中型、小型、微型）企业。即，本公司同时满足以下条件：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根据《工业和信息化部、国家统计局、国家发展和改革委员会、财政部关于印发中小企业划型标准规定的通知》（工信部联企业[2011]300号）规定的划分标准，本公司为______（请填写：大型、中型、小型、微型）企业。</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2.本公司参加______单位的______项目采购活动（以下形式选择填写）：</w:t>
      </w:r>
    </w:p>
    <w:p>
      <w:pPr>
        <w:pageBreakBefore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（1）□本公司直接提供本企业制造的货物，由本企业承担工程、提供服务。</w:t>
      </w:r>
    </w:p>
    <w:p>
      <w:pPr>
        <w:pageBreakBefore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（2）□本公司为代理商，提供其他______（请填写：中型、小型、微型）企业制造的货物。本条所称货物不包括使用大型企业注册商标的货物。（后附制造商企业类型声明函）</w:t>
      </w:r>
    </w:p>
    <w:p>
      <w:pPr>
        <w:pageBreakBefore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（3）□本公司为联合体一方，提供本企业制造的货物，由本企业承担工程、提供服务。我公司提供协议合同金额占到共同谈判协议合同总金额的比例为</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本公司对上述声明的真实性负责。如有虚假，将依法承担相应责任。</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企业名称（盖章）： </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日  期：</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br w:type="page"/>
      </w: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制造商企业类型声明函（格式）</w:t>
      </w: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本公司作为______单位的______ 项目的设备制造商，参加政府采购活动。根据《政府采购促进中小企业发展暂行办法》（财库[2011]181号）的规定，及《工业和信息化部、国家统计局、国家发展和改革委员会、财政部关于印发中小企业划型标准规定的通知》（工信部联企业[2011]300号）规定的划分标准，作出如下声明：</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本公司为______（请填写：中型、小型、微型）企业，提供本企业制造的货物，由本企业承担工程、提供服务。</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本公司对上述声明的真实性负责。如有虚假，将依法承担相应责任。</w:t>
      </w:r>
    </w:p>
    <w:p>
      <w:pPr>
        <w:pageBreakBefore w:val="0"/>
        <w:widowControl/>
        <w:kinsoku/>
        <w:wordWrap/>
        <w:overflowPunct/>
        <w:topLinePunct w:val="0"/>
        <w:autoSpaceDE/>
        <w:autoSpaceDN/>
        <w:bidi w:val="0"/>
        <w:adjustRightInd/>
        <w:spacing w:line="360" w:lineRule="auto"/>
        <w:ind w:firstLine="4515" w:firstLineChars="2150"/>
        <w:jc w:val="left"/>
        <w:textAlignment w:val="auto"/>
        <w:rPr>
          <w:rFonts w:hint="eastAsia" w:ascii="仿宋" w:hAnsi="仿宋" w:eastAsia="仿宋" w:cs="仿宋"/>
          <w:kern w:val="0"/>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企业名称（盖章）： </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日  期：</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kern w:val="0"/>
          <w:sz w:val="21"/>
          <w:szCs w:val="21"/>
        </w:rPr>
        <w:br w:type="page"/>
      </w:r>
      <w:r>
        <w:rPr>
          <w:rFonts w:hint="eastAsia" w:ascii="仿宋" w:hAnsi="仿宋" w:eastAsia="仿宋" w:cs="仿宋"/>
          <w:b/>
          <w:sz w:val="21"/>
          <w:szCs w:val="21"/>
        </w:rPr>
        <w:t>（九）其他必要的内容</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1、投标人认为可以证明其工作和项目能力的其他资质文件</w:t>
      </w:r>
    </w:p>
    <w:p>
      <w:pPr>
        <w:pageBreakBefore w:val="0"/>
        <w:kinsoku/>
        <w:wordWrap/>
        <w:overflowPunct/>
        <w:topLinePunct w:val="0"/>
        <w:autoSpaceDE/>
        <w:autoSpaceDN/>
        <w:bidi w:val="0"/>
        <w:adjustRightInd/>
        <w:spacing w:line="360" w:lineRule="auto"/>
        <w:ind w:firstLine="105" w:firstLineChars="50"/>
        <w:textAlignment w:val="auto"/>
        <w:rPr>
          <w:rFonts w:hint="eastAsia" w:ascii="仿宋" w:hAnsi="仿宋" w:eastAsia="仿宋" w:cs="仿宋"/>
          <w:b/>
          <w:sz w:val="21"/>
          <w:szCs w:val="21"/>
        </w:rPr>
      </w:pPr>
      <w:r>
        <w:rPr>
          <w:rFonts w:hint="eastAsia" w:ascii="仿宋" w:hAnsi="仿宋" w:eastAsia="仿宋" w:cs="仿宋"/>
          <w:b/>
          <w:sz w:val="21"/>
          <w:szCs w:val="21"/>
        </w:rPr>
        <w:t>附件四：采购需求响应方案</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
          <w:sz w:val="21"/>
          <w:szCs w:val="21"/>
        </w:rPr>
      </w:pPr>
      <w:r>
        <w:rPr>
          <w:rFonts w:hint="eastAsia" w:ascii="仿宋" w:hAnsi="仿宋" w:eastAsia="仿宋" w:cs="仿宋"/>
          <w:sz w:val="21"/>
          <w:szCs w:val="21"/>
        </w:rPr>
        <w:br w:type="page"/>
      </w:r>
      <w:r>
        <w:rPr>
          <w:rFonts w:hint="eastAsia" w:ascii="仿宋" w:hAnsi="仿宋" w:eastAsia="仿宋" w:cs="仿宋"/>
          <w:b/>
          <w:sz w:val="21"/>
          <w:szCs w:val="21"/>
        </w:rPr>
        <w:t>附件</w:t>
      </w:r>
      <w:r>
        <w:rPr>
          <w:rFonts w:hint="eastAsia" w:ascii="仿宋" w:hAnsi="仿宋" w:eastAsia="仿宋" w:cs="仿宋"/>
          <w:b/>
          <w:sz w:val="21"/>
          <w:szCs w:val="21"/>
          <w:lang w:eastAsia="zh-CN"/>
        </w:rPr>
        <w:t>五</w:t>
      </w:r>
      <w:r>
        <w:rPr>
          <w:rFonts w:hint="eastAsia" w:ascii="仿宋" w:hAnsi="仿宋" w:eastAsia="仿宋" w:cs="仿宋"/>
          <w:b/>
          <w:sz w:val="21"/>
          <w:szCs w:val="21"/>
        </w:rPr>
        <w:t>：</w:t>
      </w:r>
    </w:p>
    <w:tbl>
      <w:tblPr>
        <w:tblStyle w:val="18"/>
        <w:tblW w:w="8520" w:type="dxa"/>
        <w:tblInd w:w="93" w:type="dxa"/>
        <w:tblLayout w:type="fixed"/>
        <w:tblCellMar>
          <w:top w:w="0" w:type="dxa"/>
          <w:left w:w="108" w:type="dxa"/>
          <w:bottom w:w="0" w:type="dxa"/>
          <w:right w:w="108" w:type="dxa"/>
        </w:tblCellMar>
      </w:tblPr>
      <w:tblGrid>
        <w:gridCol w:w="1801"/>
        <w:gridCol w:w="1958"/>
        <w:gridCol w:w="1643"/>
        <w:gridCol w:w="3118"/>
      </w:tblGrid>
      <w:tr>
        <w:tblPrEx>
          <w:tblLayout w:type="fixed"/>
          <w:tblCellMar>
            <w:top w:w="0" w:type="dxa"/>
            <w:left w:w="108" w:type="dxa"/>
            <w:bottom w:w="0" w:type="dxa"/>
            <w:right w:w="108" w:type="dxa"/>
          </w:tblCellMar>
        </w:tblPrEx>
        <w:trPr>
          <w:trHeight w:val="960" w:hRule="atLeast"/>
        </w:trPr>
        <w:tc>
          <w:tcPr>
            <w:tcW w:w="8520" w:type="dxa"/>
            <w:gridSpan w:val="4"/>
            <w:tcBorders>
              <w:top w:val="nil"/>
              <w:left w:val="nil"/>
              <w:bottom w:val="single" w:color="auto" w:sz="4" w:space="0"/>
              <w:right w:val="nil"/>
            </w:tcBorders>
            <w:vAlign w:val="center"/>
          </w:tcPr>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1"/>
                <w:szCs w:val="21"/>
              </w:rPr>
            </w:pPr>
            <w:r>
              <w:rPr>
                <w:rFonts w:hint="eastAsia" w:ascii="仿宋" w:hAnsi="仿宋" w:eastAsia="仿宋" w:cs="仿宋"/>
                <w:b/>
                <w:bCs/>
                <w:kern w:val="0"/>
                <w:sz w:val="21"/>
                <w:szCs w:val="21"/>
              </w:rPr>
              <w:t>最后报价表</w:t>
            </w:r>
            <w:r>
              <w:rPr>
                <w:rFonts w:hint="eastAsia" w:ascii="仿宋" w:hAnsi="仿宋" w:eastAsia="仿宋" w:cs="仿宋"/>
                <w:sz w:val="21"/>
                <w:szCs w:val="21"/>
              </w:rPr>
              <w:t>（最后报价时提交）</w:t>
            </w:r>
          </w:p>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kern w:val="0"/>
                <w:sz w:val="21"/>
                <w:szCs w:val="21"/>
              </w:rPr>
            </w:pPr>
          </w:p>
        </w:tc>
      </w:tr>
      <w:tr>
        <w:tblPrEx>
          <w:tblLayout w:type="fixed"/>
          <w:tblCellMar>
            <w:top w:w="0" w:type="dxa"/>
            <w:left w:w="108" w:type="dxa"/>
            <w:bottom w:w="0" w:type="dxa"/>
            <w:right w:w="108" w:type="dxa"/>
          </w:tblCellMar>
        </w:tblPrEx>
        <w:trPr>
          <w:trHeight w:val="768" w:hRule="atLeast"/>
        </w:trPr>
        <w:tc>
          <w:tcPr>
            <w:tcW w:w="18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项目名称</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95"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项目编号</w:t>
            </w:r>
          </w:p>
        </w:tc>
        <w:tc>
          <w:tcPr>
            <w:tcW w:w="6719" w:type="dxa"/>
            <w:gridSpan w:val="3"/>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825"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谈判日期</w:t>
            </w:r>
          </w:p>
        </w:tc>
        <w:tc>
          <w:tcPr>
            <w:tcW w:w="195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 </w:t>
            </w:r>
          </w:p>
        </w:tc>
        <w:tc>
          <w:tcPr>
            <w:tcW w:w="164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谈判地点</w:t>
            </w:r>
          </w:p>
        </w:tc>
        <w:tc>
          <w:tcPr>
            <w:tcW w:w="311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防灾科技学院</w:t>
            </w: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公司名称</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首次报价</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最后报价</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1110" w:hRule="atLeast"/>
        </w:trPr>
        <w:tc>
          <w:tcPr>
            <w:tcW w:w="8520"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ind w:firstLine="315" w:firstLineChars="15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我公司承诺：</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ind w:firstLine="3360" w:firstLineChars="16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授权代表签字：</w:t>
            </w:r>
          </w:p>
          <w:p>
            <w:pPr>
              <w:pageBreakBefore w:val="0"/>
              <w:widowControl/>
              <w:kinsoku/>
              <w:wordWrap/>
              <w:overflowPunct/>
              <w:topLinePunct w:val="0"/>
              <w:autoSpaceDE/>
              <w:autoSpaceDN/>
              <w:bidi w:val="0"/>
              <w:adjustRightInd/>
              <w:spacing w:line="360" w:lineRule="auto"/>
              <w:ind w:firstLine="3360" w:firstLineChars="1600"/>
              <w:jc w:val="left"/>
              <w:textAlignment w:val="auto"/>
              <w:rPr>
                <w:rFonts w:hint="eastAsia" w:ascii="仿宋" w:hAnsi="仿宋" w:eastAsia="仿宋" w:cs="仿宋"/>
                <w:kern w:val="0"/>
                <w:sz w:val="21"/>
                <w:szCs w:val="21"/>
              </w:rPr>
            </w:pPr>
          </w:p>
        </w:tc>
      </w:tr>
    </w:tbl>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p>
    <w:p/>
    <w:p/>
    <w:sectPr>
      <w:type w:val="nextColumn"/>
      <w:pgSz w:w="11906" w:h="16838"/>
      <w:pgMar w:top="1440" w:right="1797" w:bottom="1402"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AD65"/>
    <w:multiLevelType w:val="singleLevel"/>
    <w:tmpl w:val="1155AD65"/>
    <w:lvl w:ilvl="0" w:tentative="0">
      <w:start w:val="1"/>
      <w:numFmt w:val="decimal"/>
      <w:suff w:val="nothing"/>
      <w:lvlText w:val="%1、"/>
      <w:lvlJc w:val="left"/>
    </w:lvl>
  </w:abstractNum>
  <w:abstractNum w:abstractNumId="1">
    <w:nsid w:val="54223372"/>
    <w:multiLevelType w:val="singleLevel"/>
    <w:tmpl w:val="54223372"/>
    <w:lvl w:ilvl="0" w:tentative="0">
      <w:start w:val="1"/>
      <w:numFmt w:val="decimal"/>
      <w:suff w:val="nothing"/>
      <w:lvlText w:val="%1、"/>
      <w:lvlJc w:val="left"/>
    </w:lvl>
  </w:abstractNum>
  <w:abstractNum w:abstractNumId="2">
    <w:nsid w:val="62B45774"/>
    <w:multiLevelType w:val="singleLevel"/>
    <w:tmpl w:val="62B45774"/>
    <w:lvl w:ilvl="0" w:tentative="0">
      <w:start w:val="1"/>
      <w:numFmt w:val="decimal"/>
      <w:lvlText w:val="%1．"/>
      <w:lvlJc w:val="left"/>
      <w:pPr>
        <w:tabs>
          <w:tab w:val="left" w:pos="945"/>
        </w:tabs>
        <w:ind w:left="945"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A4E62"/>
    <w:rsid w:val="06D9134C"/>
    <w:rsid w:val="0EA925E9"/>
    <w:rsid w:val="1C752D2C"/>
    <w:rsid w:val="28A420D1"/>
    <w:rsid w:val="2E014D9B"/>
    <w:rsid w:val="357B148C"/>
    <w:rsid w:val="37182E5A"/>
    <w:rsid w:val="394E1D3F"/>
    <w:rsid w:val="3E3C7B80"/>
    <w:rsid w:val="3F6664BA"/>
    <w:rsid w:val="433D5AD8"/>
    <w:rsid w:val="44580936"/>
    <w:rsid w:val="4A400662"/>
    <w:rsid w:val="4E3E6582"/>
    <w:rsid w:val="4E6A4E62"/>
    <w:rsid w:val="4FF2009A"/>
    <w:rsid w:val="59E25CEF"/>
    <w:rsid w:val="5DFE565A"/>
    <w:rsid w:val="649D4391"/>
    <w:rsid w:val="65BE13A6"/>
    <w:rsid w:val="673643C9"/>
    <w:rsid w:val="71D226A7"/>
    <w:rsid w:val="7598005D"/>
    <w:rsid w:val="791644B0"/>
    <w:rsid w:val="79F3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b/>
      <w:kern w:val="44"/>
      <w:sz w:val="44"/>
    </w:rPr>
  </w:style>
  <w:style w:type="character" w:default="1" w:styleId="9">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ind w:firstLine="540"/>
    </w:pPr>
    <w:rPr>
      <w:sz w:val="28"/>
    </w:rPr>
  </w:style>
  <w:style w:type="paragraph" w:styleId="4">
    <w:name w:val="Date"/>
    <w:basedOn w:val="1"/>
    <w:next w:val="1"/>
    <w:qFormat/>
    <w:uiPriority w:val="99"/>
    <w:rPr>
      <w:sz w:val="28"/>
    </w:rPr>
  </w:style>
  <w:style w:type="paragraph" w:styleId="5">
    <w:name w:val="Body Text Indent 2"/>
    <w:basedOn w:val="1"/>
    <w:qFormat/>
    <w:uiPriority w:val="0"/>
    <w:pPr>
      <w:spacing w:after="120" w:afterLines="0" w:line="480" w:lineRule="auto"/>
      <w:ind w:left="420" w:leftChars="200"/>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style>
  <w:style w:type="character" w:styleId="11">
    <w:name w:val="FollowedHyperlink"/>
    <w:basedOn w:val="9"/>
    <w:qFormat/>
    <w:uiPriority w:val="0"/>
    <w:rPr>
      <w:color w:val="0000FF"/>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0000FF"/>
      <w:u w:val="singl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x-tab-strip-text"/>
    <w:basedOn w:val="9"/>
    <w:qFormat/>
    <w:uiPriority w:val="0"/>
    <w:rPr>
      <w:rFonts w:ascii="Tahoma" w:hAnsi="Tahoma" w:eastAsia="Tahoma" w:cs="Tahoma"/>
      <w:color w:val="333333"/>
      <w:sz w:val="18"/>
      <w:szCs w:val="18"/>
    </w:rPr>
  </w:style>
  <w:style w:type="character" w:customStyle="1" w:styleId="21">
    <w:name w:val="x-tab-strip-text1"/>
    <w:basedOn w:val="9"/>
    <w:qFormat/>
    <w:uiPriority w:val="0"/>
  </w:style>
  <w:style w:type="character" w:customStyle="1" w:styleId="22">
    <w:name w:val="x-tab-strip-text2"/>
    <w:basedOn w:val="9"/>
    <w:qFormat/>
    <w:uiPriority w:val="0"/>
    <w:rPr>
      <w:color w:val="111111"/>
    </w:rPr>
  </w:style>
  <w:style w:type="character" w:customStyle="1" w:styleId="23">
    <w:name w:val="x-tab-strip-text3"/>
    <w:basedOn w:val="9"/>
    <w:qFormat/>
    <w:uiPriority w:val="0"/>
    <w:rPr>
      <w:b/>
      <w:color w:val="333333"/>
    </w:rPr>
  </w:style>
  <w:style w:type="character" w:customStyle="1" w:styleId="24">
    <w:name w:val="x-tab-strip-text4"/>
    <w:basedOn w:val="9"/>
    <w:qFormat/>
    <w:uiPriority w:val="0"/>
  </w:style>
  <w:style w:type="character" w:customStyle="1" w:styleId="25">
    <w:name w:val="x-tab-strip-text5"/>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2018-10-11T08:52:00Z</dcterms:created>
  <dc:creator>user</dc:creator>
  <cp:lastModifiedBy>海绵宝宝</cp:lastModifiedBy>
  <dcterms:modified xsi:type="dcterms:W3CDTF">2018-11-15T00:36:57Z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